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7F8F2299" w:rsidR="003E19D7" w:rsidRPr="00914F8E" w:rsidRDefault="003E19D7" w:rsidP="00E75E65">
      <w:pPr>
        <w:pStyle w:val="3GPPHeader"/>
        <w:spacing w:after="60"/>
        <w:jc w:val="both"/>
        <w:rPr>
          <w:szCs w:val="24"/>
          <w:lang w:val="en-US"/>
        </w:rPr>
      </w:pPr>
      <w:bookmarkStart w:id="0" w:name="_Hlk525882486"/>
      <w:bookmarkEnd w:id="0"/>
      <w:r w:rsidRPr="00914F8E">
        <w:rPr>
          <w:szCs w:val="24"/>
          <w:lang w:val="en-US"/>
        </w:rPr>
        <w:t>3GPP TSG-RAN WG</w:t>
      </w:r>
      <w:r w:rsidR="00EA1058" w:rsidRPr="00914F8E">
        <w:rPr>
          <w:szCs w:val="24"/>
          <w:lang w:val="en-US"/>
        </w:rPr>
        <w:t>3</w:t>
      </w:r>
      <w:r w:rsidR="00DC0298" w:rsidRPr="00914F8E">
        <w:rPr>
          <w:noProof/>
          <w:szCs w:val="24"/>
          <w:lang w:val="en-US"/>
        </w:rPr>
        <w:t xml:space="preserve"> </w:t>
      </w:r>
      <w:r w:rsidR="0051743E" w:rsidRPr="00914F8E">
        <w:rPr>
          <w:noProof/>
          <w:szCs w:val="24"/>
          <w:lang w:val="en-US"/>
        </w:rPr>
        <w:t>#10</w:t>
      </w:r>
      <w:r w:rsidR="006518C0">
        <w:rPr>
          <w:noProof/>
          <w:szCs w:val="24"/>
          <w:lang w:val="en-US"/>
        </w:rPr>
        <w:t>4</w:t>
      </w:r>
      <w:r w:rsidRPr="00914F8E">
        <w:rPr>
          <w:szCs w:val="24"/>
          <w:lang w:val="en-US"/>
        </w:rPr>
        <w:tab/>
      </w:r>
      <w:r w:rsidR="00806E3A" w:rsidRPr="00914F8E">
        <w:rPr>
          <w:szCs w:val="24"/>
          <w:lang w:val="en-US"/>
        </w:rPr>
        <w:t>R3</w:t>
      </w:r>
      <w:r w:rsidR="00806E3A" w:rsidRPr="00822807">
        <w:rPr>
          <w:szCs w:val="24"/>
          <w:lang w:val="en-US"/>
        </w:rPr>
        <w:t>-19</w:t>
      </w:r>
      <w:r w:rsidR="00822807" w:rsidRPr="00822807">
        <w:rPr>
          <w:szCs w:val="24"/>
          <w:lang w:val="en-US"/>
        </w:rPr>
        <w:t>3064</w:t>
      </w:r>
    </w:p>
    <w:p w14:paraId="6B669E58" w14:textId="37E918FE" w:rsidR="003E19D7" w:rsidRPr="000400CE" w:rsidRDefault="00023AEB" w:rsidP="00E75E65">
      <w:pPr>
        <w:pStyle w:val="3GPPHeader"/>
        <w:jc w:val="both"/>
        <w:rPr>
          <w:rFonts w:cs="Arial"/>
          <w:lang w:val="en-US"/>
        </w:rPr>
      </w:pPr>
      <w:r>
        <w:rPr>
          <w:lang w:val="en-US"/>
        </w:rPr>
        <w:t>Reno</w:t>
      </w:r>
      <w:r w:rsidR="0028604A" w:rsidRPr="00866712">
        <w:rPr>
          <w:lang w:val="en-US"/>
        </w:rPr>
        <w:t xml:space="preserve">, </w:t>
      </w:r>
      <w:r>
        <w:rPr>
          <w:lang w:val="en-US"/>
        </w:rPr>
        <w:t xml:space="preserve">Nevada, US, </w:t>
      </w:r>
      <w:r w:rsidR="00772087">
        <w:rPr>
          <w:lang w:val="en-US"/>
        </w:rPr>
        <w:t>13</w:t>
      </w:r>
      <w:r w:rsidR="0028604A" w:rsidRPr="00866712">
        <w:rPr>
          <w:vertAlign w:val="superscript"/>
          <w:lang w:val="en-US"/>
        </w:rPr>
        <w:t>th</w:t>
      </w:r>
      <w:r w:rsidR="0028604A" w:rsidRPr="00866712">
        <w:rPr>
          <w:lang w:val="en-US"/>
        </w:rPr>
        <w:t xml:space="preserve"> </w:t>
      </w:r>
      <w:r>
        <w:rPr>
          <w:lang w:val="en-US"/>
        </w:rPr>
        <w:t>May</w:t>
      </w:r>
      <w:r w:rsidR="0028604A" w:rsidRPr="00866712">
        <w:rPr>
          <w:lang w:val="en-US"/>
        </w:rPr>
        <w:t xml:space="preserve"> – 1</w:t>
      </w:r>
      <w:r w:rsidR="00772087">
        <w:rPr>
          <w:lang w:val="en-US"/>
        </w:rPr>
        <w:t>7</w:t>
      </w:r>
      <w:r w:rsidR="0028604A" w:rsidRPr="00866712">
        <w:rPr>
          <w:vertAlign w:val="superscript"/>
          <w:lang w:val="en-US"/>
        </w:rPr>
        <w:t>th</w:t>
      </w:r>
      <w:r w:rsidR="0028604A" w:rsidRPr="00866712">
        <w:rPr>
          <w:lang w:val="en-US"/>
        </w:rPr>
        <w:t xml:space="preserve"> </w:t>
      </w:r>
      <w:r>
        <w:rPr>
          <w:lang w:val="en-US"/>
        </w:rPr>
        <w:t>May</w:t>
      </w:r>
      <w:r w:rsidR="0028604A" w:rsidRPr="00866712">
        <w:rPr>
          <w:lang w:val="en-US"/>
        </w:rPr>
        <w:t xml:space="preserve"> 2019</w:t>
      </w:r>
      <w:r w:rsidR="00C22AD5" w:rsidRPr="000400CE">
        <w:rPr>
          <w:lang w:val="en-US"/>
        </w:rPr>
        <w:tab/>
      </w:r>
      <w:r w:rsidR="007E45D8" w:rsidRPr="000400CE">
        <w:rPr>
          <w:lang w:val="en-US"/>
        </w:rPr>
        <w:t xml:space="preserve">                 </w:t>
      </w:r>
      <w:r w:rsidR="00AA7717" w:rsidRPr="000400CE">
        <w:rPr>
          <w:lang w:val="en-US"/>
        </w:rPr>
        <w:t xml:space="preserve">                  </w:t>
      </w:r>
    </w:p>
    <w:p w14:paraId="19F901B0" w14:textId="77777777" w:rsidR="00E90E49" w:rsidRPr="000400CE" w:rsidRDefault="00E90E49" w:rsidP="00E75E65">
      <w:pPr>
        <w:pStyle w:val="3GPPHeader"/>
        <w:jc w:val="both"/>
        <w:rPr>
          <w:lang w:val="en-US"/>
        </w:rPr>
      </w:pPr>
    </w:p>
    <w:p w14:paraId="00C28BFE" w14:textId="2312FB8E" w:rsidR="00BA00E8" w:rsidRPr="000400CE" w:rsidRDefault="00BA00E8" w:rsidP="00E75E65">
      <w:pPr>
        <w:pStyle w:val="3GPPHeader"/>
        <w:jc w:val="both"/>
        <w:rPr>
          <w:rFonts w:cs="Arial"/>
          <w:sz w:val="22"/>
          <w:lang w:val="en-US"/>
        </w:rPr>
      </w:pPr>
      <w:r w:rsidRPr="00FB7FEF">
        <w:rPr>
          <w:rFonts w:cs="Arial"/>
          <w:sz w:val="22"/>
          <w:lang w:val="en-US"/>
        </w:rPr>
        <w:t>Agenda Item:</w:t>
      </w:r>
      <w:r w:rsidRPr="00FB7FEF">
        <w:rPr>
          <w:rFonts w:cs="Arial"/>
          <w:sz w:val="22"/>
          <w:lang w:val="en-US"/>
        </w:rPr>
        <w:tab/>
      </w:r>
      <w:r w:rsidR="004A5412" w:rsidRPr="00DA1066">
        <w:rPr>
          <w:rFonts w:cs="Arial"/>
          <w:sz w:val="22"/>
          <w:lang w:val="en-US"/>
        </w:rPr>
        <w:t>25.</w:t>
      </w:r>
      <w:r w:rsidR="00FB7FEF" w:rsidRPr="00DA1066">
        <w:rPr>
          <w:rFonts w:cs="Arial"/>
          <w:sz w:val="22"/>
          <w:lang w:val="en-US"/>
        </w:rPr>
        <w:t>2.3</w:t>
      </w:r>
      <w:r w:rsidR="00DA1066">
        <w:rPr>
          <w:rFonts w:cs="Arial"/>
          <w:sz w:val="22"/>
          <w:lang w:val="en-US"/>
        </w:rPr>
        <w:t>.4</w:t>
      </w:r>
    </w:p>
    <w:p w14:paraId="42813497" w14:textId="77777777" w:rsidR="00BA00E8" w:rsidRPr="000400CE" w:rsidRDefault="00BA00E8" w:rsidP="00E75E65">
      <w:pPr>
        <w:pStyle w:val="3GPPHeader"/>
        <w:jc w:val="both"/>
        <w:rPr>
          <w:rFonts w:cs="Arial"/>
          <w:sz w:val="22"/>
          <w:lang w:val="en-US"/>
        </w:rPr>
      </w:pPr>
      <w:r w:rsidRPr="000400CE">
        <w:rPr>
          <w:rFonts w:cs="Arial"/>
          <w:sz w:val="22"/>
          <w:lang w:val="en-US"/>
        </w:rPr>
        <w:t>Source:</w:t>
      </w:r>
      <w:r w:rsidRPr="000400CE">
        <w:rPr>
          <w:rFonts w:cs="Arial"/>
          <w:sz w:val="22"/>
          <w:lang w:val="en-US"/>
        </w:rPr>
        <w:tab/>
        <w:t>Ericsson</w:t>
      </w:r>
    </w:p>
    <w:p w14:paraId="71CB49DD" w14:textId="684B5411" w:rsidR="00BA00E8" w:rsidRPr="000400CE" w:rsidRDefault="00BA00E8" w:rsidP="00E75E65">
      <w:pPr>
        <w:pStyle w:val="3GPPHeader"/>
        <w:jc w:val="both"/>
        <w:rPr>
          <w:rFonts w:cs="Arial"/>
          <w:sz w:val="22"/>
          <w:lang w:val="en-US"/>
        </w:rPr>
      </w:pPr>
      <w:r w:rsidRPr="00FB7FEF">
        <w:rPr>
          <w:rFonts w:cs="Arial"/>
          <w:sz w:val="22"/>
          <w:lang w:val="en-US"/>
        </w:rPr>
        <w:t>Title:</w:t>
      </w:r>
      <w:r w:rsidRPr="00FB7FEF">
        <w:rPr>
          <w:rFonts w:cs="Arial"/>
          <w:sz w:val="22"/>
          <w:lang w:val="en-US"/>
        </w:rPr>
        <w:tab/>
      </w:r>
      <w:r w:rsidR="00EC20B2">
        <w:rPr>
          <w:rFonts w:cs="Arial"/>
          <w:sz w:val="22"/>
          <w:lang w:val="en-US"/>
        </w:rPr>
        <w:t xml:space="preserve">Load information per SSB </w:t>
      </w:r>
      <w:r w:rsidR="001C7BC9">
        <w:rPr>
          <w:rFonts w:cs="Arial"/>
          <w:sz w:val="22"/>
          <w:lang w:val="en-US"/>
        </w:rPr>
        <w:t xml:space="preserve">beam </w:t>
      </w:r>
      <w:r w:rsidR="00EC20B2">
        <w:rPr>
          <w:rFonts w:cs="Arial"/>
          <w:sz w:val="22"/>
          <w:lang w:val="en-US"/>
        </w:rPr>
        <w:t>coverage area</w:t>
      </w:r>
    </w:p>
    <w:p w14:paraId="1EDD93C1" w14:textId="77777777" w:rsidR="00BA00E8" w:rsidRPr="00506624" w:rsidRDefault="00BA00E8" w:rsidP="00E75E65">
      <w:pPr>
        <w:pStyle w:val="3GPPHeader"/>
        <w:jc w:val="both"/>
        <w:rPr>
          <w:rFonts w:cs="Arial"/>
          <w:sz w:val="22"/>
          <w:lang w:val="en-US"/>
        </w:rPr>
      </w:pPr>
      <w:r w:rsidRPr="00506624">
        <w:rPr>
          <w:rFonts w:cs="Arial"/>
          <w:sz w:val="22"/>
          <w:lang w:val="en-US"/>
        </w:rPr>
        <w:t>Document for:</w:t>
      </w:r>
      <w:r w:rsidRPr="00506624">
        <w:rPr>
          <w:rFonts w:cs="Arial"/>
          <w:sz w:val="22"/>
          <w:lang w:val="en-US"/>
        </w:rPr>
        <w:tab/>
        <w:t>Discussion, Decision</w:t>
      </w:r>
    </w:p>
    <w:p w14:paraId="21A4F1BE" w14:textId="77777777" w:rsidR="00C24345" w:rsidRDefault="00E90E49" w:rsidP="00E75E65">
      <w:pPr>
        <w:pStyle w:val="Heading1"/>
        <w:jc w:val="both"/>
      </w:pPr>
      <w:r w:rsidRPr="00CE0424">
        <w:t>Introduction</w:t>
      </w:r>
    </w:p>
    <w:p w14:paraId="08CFC1A2" w14:textId="7ED4BE7D" w:rsidR="002D2D70" w:rsidRDefault="00621B2C" w:rsidP="00621B2C">
      <w:pPr>
        <w:jc w:val="both"/>
        <w:rPr>
          <w:lang w:val="en-US" w:eastAsia="en-GB"/>
        </w:rPr>
      </w:pPr>
      <w:r w:rsidRPr="00914F8E">
        <w:rPr>
          <w:lang w:val="en-US" w:eastAsia="en-GB"/>
        </w:rPr>
        <w:t>In the RAN3#10</w:t>
      </w:r>
      <w:r w:rsidR="007B0D23">
        <w:rPr>
          <w:lang w:val="en-US" w:eastAsia="en-GB"/>
        </w:rPr>
        <w:t>3</w:t>
      </w:r>
      <w:r w:rsidRPr="00914F8E">
        <w:rPr>
          <w:lang w:val="en-US" w:eastAsia="en-GB"/>
        </w:rPr>
        <w:t>b</w:t>
      </w:r>
      <w:r w:rsidR="007B0D23">
        <w:rPr>
          <w:lang w:val="en-US" w:eastAsia="en-GB"/>
        </w:rPr>
        <w:t>is</w:t>
      </w:r>
      <w:r w:rsidRPr="00914F8E">
        <w:rPr>
          <w:lang w:val="en-US" w:eastAsia="en-GB"/>
        </w:rPr>
        <w:t xml:space="preserve"> meeting,</w:t>
      </w:r>
      <w:r w:rsidR="008C58E8">
        <w:rPr>
          <w:lang w:val="en-US" w:eastAsia="en-GB"/>
        </w:rPr>
        <w:t xml:space="preserve"> RAN3 started discussing</w:t>
      </w:r>
      <w:r w:rsidRPr="00914F8E">
        <w:rPr>
          <w:lang w:val="en-US" w:eastAsia="en-GB"/>
        </w:rPr>
        <w:t xml:space="preserve"> </w:t>
      </w:r>
      <w:r w:rsidR="004C0E99">
        <w:rPr>
          <w:lang w:val="en-US" w:eastAsia="en-GB"/>
        </w:rPr>
        <w:t>load balancing and load sharing</w:t>
      </w:r>
      <w:r w:rsidR="00934AB6">
        <w:rPr>
          <w:lang w:val="en-US" w:eastAsia="en-GB"/>
        </w:rPr>
        <w:t xml:space="preserve"> </w:t>
      </w:r>
      <w:r w:rsidR="008C58E8">
        <w:rPr>
          <w:lang w:val="en-US" w:eastAsia="en-GB"/>
        </w:rPr>
        <w:t xml:space="preserve">solutions </w:t>
      </w:r>
      <w:r w:rsidR="00934AB6">
        <w:rPr>
          <w:lang w:val="en-US" w:eastAsia="en-GB"/>
        </w:rPr>
        <w:t>for NR</w:t>
      </w:r>
      <w:r w:rsidRPr="00914F8E">
        <w:rPr>
          <w:lang w:val="en-US" w:eastAsia="en-GB"/>
        </w:rPr>
        <w:t>.</w:t>
      </w:r>
      <w:r w:rsidR="008C58E8">
        <w:rPr>
          <w:lang w:val="en-US" w:eastAsia="en-GB"/>
        </w:rPr>
        <w:t xml:space="preserve"> </w:t>
      </w:r>
      <w:r w:rsidR="00A66B87">
        <w:rPr>
          <w:lang w:val="en-US" w:eastAsia="en-GB"/>
        </w:rPr>
        <w:t>The summary of the offline discussion captured in</w:t>
      </w:r>
      <w:r w:rsidR="00FC6911">
        <w:rPr>
          <w:lang w:val="en-US" w:eastAsia="en-GB"/>
        </w:rPr>
        <w:t xml:space="preserve"> </w:t>
      </w:r>
      <w:r w:rsidR="00FC6911">
        <w:rPr>
          <w:lang w:val="en-US" w:eastAsia="en-GB"/>
        </w:rPr>
        <w:fldChar w:fldCharType="begin"/>
      </w:r>
      <w:r w:rsidR="00FC6911">
        <w:rPr>
          <w:lang w:val="en-US" w:eastAsia="en-GB"/>
        </w:rPr>
        <w:instrText xml:space="preserve"> REF _Ref7426017 \r \h </w:instrText>
      </w:r>
      <w:r w:rsidR="00FC6911">
        <w:rPr>
          <w:lang w:val="en-US" w:eastAsia="en-GB"/>
        </w:rPr>
      </w:r>
      <w:r w:rsidR="00FC6911">
        <w:rPr>
          <w:lang w:val="en-US" w:eastAsia="en-GB"/>
        </w:rPr>
        <w:fldChar w:fldCharType="separate"/>
      </w:r>
      <w:r w:rsidR="00FC6911">
        <w:rPr>
          <w:lang w:val="en-US" w:eastAsia="en-GB"/>
        </w:rPr>
        <w:t>[1]</w:t>
      </w:r>
      <w:r w:rsidR="00FC6911">
        <w:rPr>
          <w:lang w:val="en-US" w:eastAsia="en-GB"/>
        </w:rPr>
        <w:fldChar w:fldCharType="end"/>
      </w:r>
      <w:r w:rsidR="007B65C8">
        <w:rPr>
          <w:lang w:val="en-US" w:eastAsia="en-GB"/>
        </w:rPr>
        <w:t xml:space="preserve"> </w:t>
      </w:r>
      <w:r w:rsidR="00A66B87">
        <w:rPr>
          <w:lang w:val="en-US" w:eastAsia="en-GB"/>
        </w:rPr>
        <w:t xml:space="preserve"> highlights some open issues to be resolved</w:t>
      </w:r>
      <w:r w:rsidR="0022576E">
        <w:rPr>
          <w:lang w:val="en-US" w:eastAsia="en-GB"/>
        </w:rPr>
        <w:t xml:space="preserve"> for </w:t>
      </w:r>
      <w:r w:rsidR="008C2C44">
        <w:rPr>
          <w:lang w:val="en-US" w:eastAsia="en-GB"/>
        </w:rPr>
        <w:t>introducing mobility load balance</w:t>
      </w:r>
      <w:r w:rsidR="00774082">
        <w:rPr>
          <w:lang w:val="en-US" w:eastAsia="en-GB"/>
        </w:rPr>
        <w:t xml:space="preserve"> (MLB)</w:t>
      </w:r>
      <w:r w:rsidR="008C2C44">
        <w:rPr>
          <w:lang w:val="en-US" w:eastAsia="en-GB"/>
        </w:rPr>
        <w:t xml:space="preserve"> in NR</w:t>
      </w:r>
      <w:r w:rsidR="0022576E">
        <w:rPr>
          <w:lang w:val="en-US" w:eastAsia="en-GB"/>
        </w:rPr>
        <w:t>, including</w:t>
      </w:r>
      <w:r w:rsidR="002D2D70">
        <w:rPr>
          <w:lang w:val="en-US" w:eastAsia="en-GB"/>
        </w:rPr>
        <w:t>:</w:t>
      </w:r>
    </w:p>
    <w:p w14:paraId="2544281D" w14:textId="19D7A611" w:rsidR="002D2D70" w:rsidRPr="000E6D46" w:rsidRDefault="002D2D70" w:rsidP="002D2D70">
      <w:pPr>
        <w:pStyle w:val="ListParagraph"/>
        <w:numPr>
          <w:ilvl w:val="0"/>
          <w:numId w:val="35"/>
        </w:numPr>
        <w:spacing w:line="256" w:lineRule="auto"/>
        <w:rPr>
          <w:lang w:val="en-US"/>
        </w:rPr>
      </w:pPr>
      <w:r w:rsidRPr="000E6D46">
        <w:rPr>
          <w:lang w:val="en-US"/>
        </w:rPr>
        <w:t>The architectural aspect for MLB</w:t>
      </w:r>
      <w:r w:rsidR="0053620F">
        <w:rPr>
          <w:lang w:val="en-US"/>
        </w:rPr>
        <w:t xml:space="preserve"> (</w:t>
      </w:r>
      <w:r w:rsidRPr="000E6D46">
        <w:rPr>
          <w:lang w:val="en-US"/>
        </w:rPr>
        <w:t>distributed, centralized and hybrid approaches</w:t>
      </w:r>
      <w:r w:rsidR="0053620F">
        <w:rPr>
          <w:lang w:val="en-US"/>
        </w:rPr>
        <w:t>).</w:t>
      </w:r>
    </w:p>
    <w:p w14:paraId="42C3A638" w14:textId="010A9081" w:rsidR="002D2D70" w:rsidRPr="000E6D46" w:rsidRDefault="002D2D70" w:rsidP="002D2D70">
      <w:pPr>
        <w:pStyle w:val="ListParagraph"/>
        <w:numPr>
          <w:ilvl w:val="0"/>
          <w:numId w:val="35"/>
        </w:numPr>
        <w:spacing w:line="256" w:lineRule="auto"/>
        <w:rPr>
          <w:lang w:val="en-US"/>
        </w:rPr>
      </w:pPr>
      <w:r w:rsidRPr="000E6D46">
        <w:rPr>
          <w:lang w:val="en-US"/>
        </w:rPr>
        <w:t xml:space="preserve">Load definition. Whether the load information is on a per Cell/Beam/Slice/QoS basis. </w:t>
      </w:r>
    </w:p>
    <w:p w14:paraId="338A98EF" w14:textId="2C056B12" w:rsidR="002D2D70" w:rsidRPr="000E6D46" w:rsidRDefault="002D2D70" w:rsidP="000E6D46">
      <w:pPr>
        <w:pStyle w:val="ListParagraph"/>
        <w:numPr>
          <w:ilvl w:val="0"/>
          <w:numId w:val="35"/>
        </w:numPr>
        <w:spacing w:line="256" w:lineRule="auto"/>
        <w:rPr>
          <w:lang w:val="en-US"/>
        </w:rPr>
      </w:pPr>
      <w:r w:rsidRPr="000E6D46">
        <w:rPr>
          <w:lang w:val="en-US"/>
        </w:rPr>
        <w:t>Load reporting. Whether to reuse the LTE X2-like load reporting procedure in NR.</w:t>
      </w:r>
    </w:p>
    <w:p w14:paraId="6719C8D0" w14:textId="77777777" w:rsidR="002D2D70" w:rsidRPr="000E6D46" w:rsidRDefault="002D2D70" w:rsidP="002D2D70">
      <w:pPr>
        <w:pStyle w:val="ListParagraph"/>
        <w:numPr>
          <w:ilvl w:val="0"/>
          <w:numId w:val="35"/>
        </w:numPr>
        <w:spacing w:line="256" w:lineRule="auto"/>
        <w:rPr>
          <w:lang w:val="en-US"/>
        </w:rPr>
      </w:pPr>
      <w:r w:rsidRPr="000E6D46">
        <w:rPr>
          <w:lang w:val="en-US"/>
        </w:rPr>
        <w:t>Load reporting indicates load information for UL carrier and SUL carrier separately.</w:t>
      </w:r>
    </w:p>
    <w:p w14:paraId="6339B20C" w14:textId="66E9592B" w:rsidR="002D2D70" w:rsidRPr="000E6D46" w:rsidRDefault="002D2D70" w:rsidP="002D2D70">
      <w:pPr>
        <w:pStyle w:val="ListParagraph"/>
        <w:numPr>
          <w:ilvl w:val="0"/>
          <w:numId w:val="35"/>
        </w:numPr>
        <w:spacing w:line="256" w:lineRule="auto"/>
        <w:rPr>
          <w:lang w:val="en-US"/>
        </w:rPr>
      </w:pPr>
      <w:r w:rsidRPr="000E6D46">
        <w:rPr>
          <w:lang w:val="en-US"/>
        </w:rPr>
        <w:t xml:space="preserve">Load coordination with MR-DC scenario considered. </w:t>
      </w:r>
    </w:p>
    <w:p w14:paraId="37705213" w14:textId="77777777" w:rsidR="002D2D70" w:rsidRPr="000E6D46" w:rsidRDefault="002D2D70" w:rsidP="002D2D70">
      <w:pPr>
        <w:pStyle w:val="ListParagraph"/>
        <w:numPr>
          <w:ilvl w:val="0"/>
          <w:numId w:val="35"/>
        </w:numPr>
        <w:spacing w:line="256" w:lineRule="auto"/>
      </w:pPr>
      <w:r w:rsidRPr="000E6D46">
        <w:t>Other optimization</w:t>
      </w:r>
    </w:p>
    <w:p w14:paraId="5575EF95" w14:textId="492926EE" w:rsidR="00BA00E8" w:rsidRPr="00B34427" w:rsidRDefault="00621B2C" w:rsidP="00B34427">
      <w:pPr>
        <w:jc w:val="both"/>
        <w:rPr>
          <w:lang w:val="en-US" w:eastAsia="en-GB"/>
        </w:rPr>
      </w:pPr>
      <w:r w:rsidRPr="00FB7FEF">
        <w:rPr>
          <w:lang w:val="en-US" w:eastAsia="en-GB"/>
        </w:rPr>
        <w:t xml:space="preserve">In this paper we </w:t>
      </w:r>
      <w:r w:rsidR="000B1DAA">
        <w:rPr>
          <w:lang w:val="en-US" w:eastAsia="en-GB"/>
        </w:rPr>
        <w:t>discuss load definitions for NR</w:t>
      </w:r>
      <w:r w:rsidR="00CA3E59">
        <w:rPr>
          <w:lang w:val="en-US" w:eastAsia="en-GB"/>
        </w:rPr>
        <w:t xml:space="preserve"> and recommend RAN</w:t>
      </w:r>
      <w:proofErr w:type="gramStart"/>
      <w:r w:rsidR="00CA3E59">
        <w:rPr>
          <w:lang w:val="en-US" w:eastAsia="en-GB"/>
        </w:rPr>
        <w:t xml:space="preserve">3 </w:t>
      </w:r>
      <w:r w:rsidR="006738EE">
        <w:rPr>
          <w:lang w:val="en-US" w:eastAsia="en-GB"/>
        </w:rPr>
        <w:t>.</w:t>
      </w:r>
      <w:proofErr w:type="gramEnd"/>
    </w:p>
    <w:p w14:paraId="4C436DC2" w14:textId="486430BC" w:rsidR="00B83BAE" w:rsidRPr="002F3C5F" w:rsidRDefault="004000E8" w:rsidP="00B83BAE">
      <w:pPr>
        <w:pStyle w:val="Heading1"/>
        <w:jc w:val="both"/>
      </w:pPr>
      <w:bookmarkStart w:id="1" w:name="_Ref178064866"/>
      <w:r w:rsidRPr="00CE0424">
        <w:t>Discussion</w:t>
      </w:r>
      <w:bookmarkEnd w:id="1"/>
    </w:p>
    <w:p w14:paraId="088C1044" w14:textId="4AC74F9A" w:rsidR="006738EE" w:rsidRDefault="007047EE" w:rsidP="00E75E65">
      <w:pPr>
        <w:pStyle w:val="Heading2"/>
        <w:jc w:val="both"/>
      </w:pPr>
      <w:r>
        <w:t>Prioritization of l</w:t>
      </w:r>
      <w:r w:rsidR="006738EE">
        <w:t>oad definition</w:t>
      </w:r>
      <w:r>
        <w:t>s</w:t>
      </w:r>
      <w:r w:rsidR="006738EE">
        <w:t xml:space="preserve"> for MLB in NR</w:t>
      </w:r>
    </w:p>
    <w:p w14:paraId="65816871" w14:textId="474849BC" w:rsidR="00E47BAD" w:rsidRPr="000E6D46" w:rsidRDefault="00E47BAD" w:rsidP="00E47BAD">
      <w:pPr>
        <w:rPr>
          <w:lang w:val="en-US" w:eastAsia="zh-CN"/>
        </w:rPr>
      </w:pPr>
      <w:r w:rsidRPr="000E6D46">
        <w:rPr>
          <w:lang w:val="en-US" w:eastAsia="zh-CN"/>
        </w:rPr>
        <w:t>In the prev</w:t>
      </w:r>
      <w:r w:rsidR="007D0DA0" w:rsidRPr="000E6D46">
        <w:rPr>
          <w:lang w:val="en-US" w:eastAsia="zh-CN"/>
        </w:rPr>
        <w:t xml:space="preserve">ious meeting, </w:t>
      </w:r>
      <w:r w:rsidR="0061054C" w:rsidRPr="000E6D46">
        <w:rPr>
          <w:lang w:val="en-US" w:eastAsia="zh-CN"/>
        </w:rPr>
        <w:t xml:space="preserve">companies provided various views regarding load definitions for </w:t>
      </w:r>
      <w:r w:rsidR="00774082" w:rsidRPr="000E6D46">
        <w:rPr>
          <w:lang w:val="en-US" w:eastAsia="zh-CN"/>
        </w:rPr>
        <w:t>MLB in NR</w:t>
      </w:r>
      <w:r w:rsidR="007B65C8" w:rsidRPr="000E6D46">
        <w:rPr>
          <w:lang w:val="en-US" w:eastAsia="zh-CN"/>
        </w:rPr>
        <w:t xml:space="preserve"> </w:t>
      </w:r>
      <w:r w:rsidR="007B65C8">
        <w:rPr>
          <w:lang w:eastAsia="zh-CN"/>
        </w:rPr>
        <w:fldChar w:fldCharType="begin"/>
      </w:r>
      <w:r w:rsidR="007B65C8" w:rsidRPr="000E6D46">
        <w:rPr>
          <w:lang w:val="en-US" w:eastAsia="zh-CN"/>
        </w:rPr>
        <w:instrText xml:space="preserve"> REF _Ref7426017 \r \h </w:instrText>
      </w:r>
      <w:r w:rsidR="007B65C8">
        <w:rPr>
          <w:lang w:eastAsia="zh-CN"/>
        </w:rPr>
      </w:r>
      <w:r w:rsidR="007B65C8">
        <w:rPr>
          <w:lang w:eastAsia="zh-CN"/>
        </w:rPr>
        <w:fldChar w:fldCharType="separate"/>
      </w:r>
      <w:r w:rsidR="007B65C8" w:rsidRPr="000E6D46">
        <w:rPr>
          <w:lang w:val="en-US" w:eastAsia="zh-CN"/>
        </w:rPr>
        <w:t>[1]</w:t>
      </w:r>
      <w:r w:rsidR="007B65C8">
        <w:rPr>
          <w:lang w:eastAsia="zh-CN"/>
        </w:rPr>
        <w:fldChar w:fldCharType="end"/>
      </w:r>
      <w:r w:rsidR="005019E5" w:rsidRPr="000E6D46">
        <w:rPr>
          <w:lang w:val="en-US" w:eastAsia="zh-CN"/>
        </w:rPr>
        <w:t>:</w:t>
      </w:r>
    </w:p>
    <w:p w14:paraId="18FFB77B" w14:textId="3B417C13" w:rsidR="005019E5" w:rsidRDefault="005019E5" w:rsidP="005019E5">
      <w:pPr>
        <w:pStyle w:val="ListParagraph"/>
        <w:numPr>
          <w:ilvl w:val="0"/>
          <w:numId w:val="36"/>
        </w:numPr>
        <w:rPr>
          <w:lang w:eastAsia="zh-CN"/>
        </w:rPr>
      </w:pPr>
      <w:r>
        <w:rPr>
          <w:lang w:eastAsia="zh-CN"/>
        </w:rPr>
        <w:t>Load per cell</w:t>
      </w:r>
      <w:r w:rsidR="009734A7">
        <w:rPr>
          <w:lang w:eastAsia="zh-CN"/>
        </w:rPr>
        <w:t>;</w:t>
      </w:r>
    </w:p>
    <w:p w14:paraId="67150E01" w14:textId="0EB28CB3" w:rsidR="007047EE" w:rsidRPr="00410306" w:rsidRDefault="007047EE" w:rsidP="005019E5">
      <w:pPr>
        <w:pStyle w:val="ListParagraph"/>
        <w:numPr>
          <w:ilvl w:val="0"/>
          <w:numId w:val="36"/>
        </w:numPr>
        <w:rPr>
          <w:lang w:val="en-US" w:eastAsia="zh-CN"/>
        </w:rPr>
      </w:pPr>
      <w:r w:rsidRPr="00410306">
        <w:rPr>
          <w:lang w:val="en-US" w:eastAsia="zh-CN"/>
        </w:rPr>
        <w:t>Load per SSB coverage area</w:t>
      </w:r>
      <w:r w:rsidR="009734A7" w:rsidRPr="00410306">
        <w:rPr>
          <w:lang w:val="en-US" w:eastAsia="zh-CN"/>
        </w:rPr>
        <w:t>;</w:t>
      </w:r>
    </w:p>
    <w:p w14:paraId="6A25ECDF" w14:textId="2405A04E" w:rsidR="009734A7" w:rsidRPr="009734A7" w:rsidRDefault="00E3456A">
      <w:pPr>
        <w:pStyle w:val="ListParagraph"/>
        <w:numPr>
          <w:ilvl w:val="0"/>
          <w:numId w:val="36"/>
        </w:numPr>
        <w:rPr>
          <w:lang w:eastAsia="zh-CN"/>
        </w:rPr>
      </w:pPr>
      <w:r>
        <w:rPr>
          <w:lang w:eastAsia="zh-CN"/>
        </w:rPr>
        <w:t>Load per network slice</w:t>
      </w:r>
      <w:r w:rsidR="009734A7">
        <w:rPr>
          <w:lang w:eastAsia="zh-CN"/>
        </w:rPr>
        <w:t>;</w:t>
      </w:r>
    </w:p>
    <w:p w14:paraId="177D40F9" w14:textId="06E3A010" w:rsidR="00E3456A" w:rsidRDefault="00E3456A" w:rsidP="005019E5">
      <w:pPr>
        <w:pStyle w:val="ListParagraph"/>
        <w:numPr>
          <w:ilvl w:val="0"/>
          <w:numId w:val="36"/>
        </w:numPr>
        <w:rPr>
          <w:lang w:eastAsia="zh-CN"/>
        </w:rPr>
      </w:pPr>
      <w:r>
        <w:rPr>
          <w:lang w:eastAsia="zh-CN"/>
        </w:rPr>
        <w:t>Load per</w:t>
      </w:r>
      <w:r w:rsidR="009734A7">
        <w:rPr>
          <w:lang w:eastAsia="zh-CN"/>
        </w:rPr>
        <w:t xml:space="preserve"> QoS basis.</w:t>
      </w:r>
    </w:p>
    <w:p w14:paraId="3F0957AC" w14:textId="3BBBB843" w:rsidR="00194CF0" w:rsidRPr="000E6D46" w:rsidRDefault="00A10CFA" w:rsidP="000E6D46">
      <w:pPr>
        <w:jc w:val="both"/>
        <w:rPr>
          <w:lang w:val="en-US" w:eastAsia="zh-CN"/>
        </w:rPr>
      </w:pPr>
      <w:r w:rsidRPr="000E6D46">
        <w:rPr>
          <w:lang w:val="en-US" w:eastAsia="zh-CN"/>
        </w:rPr>
        <w:t>While l</w:t>
      </w:r>
      <w:r w:rsidR="00D107E2" w:rsidRPr="000E6D46">
        <w:rPr>
          <w:lang w:val="en-US" w:eastAsia="zh-CN"/>
        </w:rPr>
        <w:t xml:space="preserve">oad </w:t>
      </w:r>
      <w:r w:rsidR="0059315A" w:rsidRPr="000E6D46">
        <w:rPr>
          <w:lang w:val="en-US" w:eastAsia="zh-CN"/>
        </w:rPr>
        <w:t xml:space="preserve">information on a </w:t>
      </w:r>
      <w:r w:rsidR="00D107E2" w:rsidRPr="000E6D46">
        <w:rPr>
          <w:lang w:val="en-US" w:eastAsia="zh-CN"/>
        </w:rPr>
        <w:t xml:space="preserve">per cell </w:t>
      </w:r>
      <w:r w:rsidR="0059315A" w:rsidRPr="000E6D46">
        <w:rPr>
          <w:lang w:val="en-US" w:eastAsia="zh-CN"/>
        </w:rPr>
        <w:t>basis</w:t>
      </w:r>
      <w:r w:rsidR="00E37AD6" w:rsidRPr="000E6D46">
        <w:rPr>
          <w:lang w:val="en-US" w:eastAsia="zh-CN"/>
        </w:rPr>
        <w:t xml:space="preserve"> seems</w:t>
      </w:r>
      <w:r w:rsidR="00D107E2" w:rsidRPr="000E6D46">
        <w:rPr>
          <w:lang w:val="en-US" w:eastAsia="zh-CN"/>
        </w:rPr>
        <w:t xml:space="preserve"> the minimum requirement for intro</w:t>
      </w:r>
      <w:r w:rsidR="00FD4329" w:rsidRPr="000E6D46">
        <w:rPr>
          <w:lang w:val="en-US" w:eastAsia="zh-CN"/>
        </w:rPr>
        <w:t>ducing MLB in NR</w:t>
      </w:r>
      <w:r w:rsidRPr="000E6D46">
        <w:rPr>
          <w:lang w:val="en-US" w:eastAsia="zh-CN"/>
        </w:rPr>
        <w:t>,</w:t>
      </w:r>
      <w:r w:rsidR="000053C8" w:rsidRPr="000E6D46">
        <w:rPr>
          <w:lang w:val="en-US" w:eastAsia="zh-CN"/>
        </w:rPr>
        <w:t xml:space="preserve"> </w:t>
      </w:r>
      <w:r w:rsidR="00EE15CA" w:rsidRPr="000E6D46">
        <w:rPr>
          <w:lang w:val="en-US" w:eastAsia="zh-CN"/>
        </w:rPr>
        <w:t xml:space="preserve">cell-specific load is not enough </w:t>
      </w:r>
      <w:r w:rsidR="004F1104" w:rsidRPr="000E6D46">
        <w:rPr>
          <w:lang w:val="en-US" w:eastAsia="zh-CN"/>
        </w:rPr>
        <w:t>per se</w:t>
      </w:r>
      <w:r w:rsidR="00EE15CA" w:rsidRPr="000E6D46">
        <w:rPr>
          <w:lang w:val="en-US" w:eastAsia="zh-CN"/>
        </w:rPr>
        <w:t xml:space="preserve"> to characterize the </w:t>
      </w:r>
      <w:r w:rsidR="0064639B" w:rsidRPr="000E6D46">
        <w:rPr>
          <w:lang w:val="en-US" w:eastAsia="zh-CN"/>
        </w:rPr>
        <w:t>spatial distribution of load within the cell</w:t>
      </w:r>
      <w:r w:rsidR="00210776" w:rsidRPr="000E6D46">
        <w:rPr>
          <w:lang w:val="en-US" w:eastAsia="zh-CN"/>
        </w:rPr>
        <w:t xml:space="preserve"> and it</w:t>
      </w:r>
      <w:r w:rsidR="004F1104" w:rsidRPr="000E6D46">
        <w:rPr>
          <w:lang w:val="en-US" w:eastAsia="zh-CN"/>
        </w:rPr>
        <w:t xml:space="preserve"> may lead to wrong mobility decision for load balance and load sharing.</w:t>
      </w:r>
      <w:r w:rsidR="00973BE3" w:rsidRPr="000E6D46">
        <w:rPr>
          <w:lang w:val="en-US" w:eastAsia="zh-CN"/>
        </w:rPr>
        <w:t xml:space="preserve"> This is particularly true with the introduction of beam</w:t>
      </w:r>
      <w:r w:rsidR="004B17E9" w:rsidRPr="000E6D46">
        <w:rPr>
          <w:lang w:val="en-US" w:eastAsia="zh-CN"/>
        </w:rPr>
        <w:t>-</w:t>
      </w:r>
      <w:r w:rsidR="00973BE3" w:rsidRPr="000E6D46">
        <w:rPr>
          <w:lang w:val="en-US" w:eastAsia="zh-CN"/>
        </w:rPr>
        <w:t>based cell structures in NR, where a cell is d</w:t>
      </w:r>
      <w:r w:rsidR="004B17E9" w:rsidRPr="000E6D46">
        <w:rPr>
          <w:lang w:val="en-US" w:eastAsia="zh-CN"/>
        </w:rPr>
        <w:t>i</w:t>
      </w:r>
      <w:r w:rsidR="00973BE3" w:rsidRPr="000E6D46">
        <w:rPr>
          <w:lang w:val="en-US" w:eastAsia="zh-CN"/>
        </w:rPr>
        <w:t xml:space="preserve">vided in multiple </w:t>
      </w:r>
      <w:r w:rsidR="004B17E9" w:rsidRPr="000E6D46">
        <w:rPr>
          <w:lang w:val="en-US" w:eastAsia="zh-CN"/>
        </w:rPr>
        <w:t xml:space="preserve">control and data channel beams, each potentially having a capacity comparable to that of a legacy LTE cell. </w:t>
      </w:r>
      <w:r w:rsidR="004F1104" w:rsidRPr="000E6D46">
        <w:rPr>
          <w:lang w:val="en-US" w:eastAsia="zh-CN"/>
        </w:rPr>
        <w:t xml:space="preserve"> </w:t>
      </w:r>
      <w:r w:rsidR="004B17E9" w:rsidRPr="000E6D46">
        <w:rPr>
          <w:lang w:val="en-US" w:eastAsia="zh-CN"/>
        </w:rPr>
        <w:br/>
      </w:r>
      <w:r w:rsidR="004D11BD">
        <w:rPr>
          <w:lang w:eastAsia="zh-CN"/>
        </w:rPr>
        <w:fldChar w:fldCharType="begin"/>
      </w:r>
      <w:r w:rsidR="004D11BD" w:rsidRPr="00914F8E">
        <w:rPr>
          <w:lang w:val="en-US" w:eastAsia="zh-CN"/>
        </w:rPr>
        <w:instrText xml:space="preserve"> REF _Ref381424 \h </w:instrText>
      </w:r>
      <w:r w:rsidR="004D11BD">
        <w:rPr>
          <w:lang w:eastAsia="zh-CN"/>
        </w:rPr>
      </w:r>
      <w:r w:rsidR="004D11BD">
        <w:rPr>
          <w:lang w:eastAsia="zh-CN"/>
        </w:rPr>
        <w:fldChar w:fldCharType="separate"/>
      </w:r>
      <w:r w:rsidR="004D11BD" w:rsidRPr="002765EF">
        <w:rPr>
          <w:lang w:val="en-US"/>
        </w:rPr>
        <w:t xml:space="preserve">Figure </w:t>
      </w:r>
      <w:r w:rsidR="004D11BD">
        <w:rPr>
          <w:noProof/>
          <w:lang w:val="en-US"/>
        </w:rPr>
        <w:t>1</w:t>
      </w:r>
      <w:r w:rsidR="004D11BD">
        <w:rPr>
          <w:lang w:eastAsia="zh-CN"/>
        </w:rPr>
        <w:fldChar w:fldCharType="end"/>
      </w:r>
      <w:r w:rsidR="004D11BD" w:rsidRPr="00914F8E">
        <w:rPr>
          <w:lang w:val="en-US" w:eastAsia="zh-CN"/>
        </w:rPr>
        <w:t xml:space="preserve"> shows </w:t>
      </w:r>
      <w:r w:rsidR="00246935">
        <w:rPr>
          <w:lang w:val="en-US" w:eastAsia="zh-CN"/>
        </w:rPr>
        <w:t xml:space="preserve">an example wherein </w:t>
      </w:r>
      <w:r w:rsidR="00C12445">
        <w:rPr>
          <w:lang w:val="en-US" w:eastAsia="zh-CN"/>
        </w:rPr>
        <w:t xml:space="preserve">using only cell-specific load may lead to an erroneous decision </w:t>
      </w:r>
      <w:proofErr w:type="gramStart"/>
      <w:r w:rsidR="00C12445">
        <w:rPr>
          <w:lang w:val="en-US" w:eastAsia="zh-CN"/>
        </w:rPr>
        <w:t>for  MLB</w:t>
      </w:r>
      <w:proofErr w:type="gramEnd"/>
      <w:r w:rsidR="00520C99">
        <w:rPr>
          <w:lang w:val="en-US" w:eastAsia="zh-CN"/>
        </w:rPr>
        <w:t xml:space="preserve">. </w:t>
      </w:r>
      <w:r w:rsidR="004D11BD" w:rsidRPr="00914F8E">
        <w:rPr>
          <w:lang w:val="en-US" w:eastAsia="zh-CN"/>
        </w:rPr>
        <w:t xml:space="preserve">In this example, an NR serving cell is considered, where the cell is highly loaded at least in some local area defined, for instance, by the coverage area of different SSB beams. A target UE in the loaded area may report measurements </w:t>
      </w:r>
      <w:r w:rsidR="00413140">
        <w:rPr>
          <w:lang w:val="en-US" w:eastAsia="zh-CN"/>
        </w:rPr>
        <w:t>for</w:t>
      </w:r>
      <w:r w:rsidR="004D11BD" w:rsidRPr="00914F8E">
        <w:rPr>
          <w:lang w:val="en-US" w:eastAsia="zh-CN"/>
        </w:rPr>
        <w:t xml:space="preserve"> a neighbor cell-A detected with good radio conditions, possibly including beam measurements. </w:t>
      </w:r>
    </w:p>
    <w:p w14:paraId="6EED4D04" w14:textId="77777777" w:rsidR="004D11BD" w:rsidRPr="00276F55" w:rsidRDefault="004D11BD" w:rsidP="004D11BD">
      <w:pPr>
        <w:keepNext/>
        <w:jc w:val="center"/>
        <w:rPr>
          <w:lang w:val="en-US"/>
        </w:rPr>
      </w:pPr>
      <w:r>
        <w:rPr>
          <w:noProof/>
        </w:rPr>
        <w:lastRenderedPageBreak/>
        <w:drawing>
          <wp:inline distT="0" distB="0" distL="0" distR="0" wp14:anchorId="5E4F4496" wp14:editId="22070AE2">
            <wp:extent cx="2446506" cy="2035065"/>
            <wp:effectExtent l="0" t="0" r="0" b="381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0666" cy="2055162"/>
                    </a:xfrm>
                    <a:prstGeom prst="rect">
                      <a:avLst/>
                    </a:prstGeom>
                    <a:noFill/>
                  </pic:spPr>
                </pic:pic>
              </a:graphicData>
            </a:graphic>
          </wp:inline>
        </w:drawing>
      </w:r>
    </w:p>
    <w:p w14:paraId="20B0853F" w14:textId="77777777" w:rsidR="004D11BD" w:rsidRPr="002765EF" w:rsidRDefault="004D11BD" w:rsidP="004D11BD">
      <w:pPr>
        <w:pStyle w:val="Caption"/>
        <w:rPr>
          <w:lang w:val="en-US" w:eastAsia="zh-CN"/>
        </w:rPr>
      </w:pPr>
      <w:bookmarkStart w:id="2" w:name="_Ref381424"/>
      <w:r w:rsidRPr="002765EF">
        <w:rPr>
          <w:lang w:val="en-US"/>
        </w:rPr>
        <w:t xml:space="preserve">Figure </w:t>
      </w:r>
      <w:r>
        <w:fldChar w:fldCharType="begin"/>
      </w:r>
      <w:r w:rsidRPr="002765EF">
        <w:rPr>
          <w:lang w:val="en-US"/>
        </w:rPr>
        <w:instrText xml:space="preserve"> SEQ Figure \* ARABIC </w:instrText>
      </w:r>
      <w:r>
        <w:fldChar w:fldCharType="separate"/>
      </w:r>
      <w:r>
        <w:rPr>
          <w:noProof/>
          <w:lang w:val="en-US"/>
        </w:rPr>
        <w:t>1</w:t>
      </w:r>
      <w:r>
        <w:fldChar w:fldCharType="end"/>
      </w:r>
      <w:bookmarkEnd w:id="2"/>
      <w:r w:rsidRPr="002765EF">
        <w:rPr>
          <w:lang w:val="en-US"/>
        </w:rPr>
        <w:t>: Example of unbalance</w:t>
      </w:r>
      <w:r>
        <w:rPr>
          <w:lang w:val="en-US"/>
        </w:rPr>
        <w:t>d</w:t>
      </w:r>
      <w:r w:rsidRPr="002765EF">
        <w:rPr>
          <w:lang w:val="en-US"/>
        </w:rPr>
        <w:t xml:space="preserve"> l</w:t>
      </w:r>
      <w:r>
        <w:rPr>
          <w:lang w:val="en-US"/>
        </w:rPr>
        <w:t xml:space="preserve">oad distribution between SSB within an NR cell that could allow MLB to the coverage area of SSB with low load. </w:t>
      </w:r>
    </w:p>
    <w:p w14:paraId="11330FAE" w14:textId="3A146ADC" w:rsidR="004D11BD" w:rsidRPr="000E6D46" w:rsidRDefault="004D11BD" w:rsidP="000E6D46">
      <w:pPr>
        <w:jc w:val="both"/>
        <w:rPr>
          <w:lang w:val="en-US" w:eastAsia="zh-CN"/>
        </w:rPr>
      </w:pPr>
      <w:r w:rsidRPr="00914F8E">
        <w:rPr>
          <w:lang w:val="en-US" w:eastAsia="zh-CN"/>
        </w:rPr>
        <w:t xml:space="preserve">Assuming to use the LTE MLB solution as baseline for NR, the serving node can request resource status information to the target node which would indicate a high load in Cell-A, as at least the same number of UEs and same traffic as in the serving cell might be experienced. </w:t>
      </w:r>
      <w:r w:rsidR="00B373C6">
        <w:rPr>
          <w:lang w:val="en-US" w:eastAsia="zh-CN"/>
        </w:rPr>
        <w:t xml:space="preserve">If only </w:t>
      </w:r>
      <w:r w:rsidR="00DF5995">
        <w:rPr>
          <w:lang w:val="en-US" w:eastAsia="zh-CN"/>
        </w:rPr>
        <w:t xml:space="preserve">load per cell </w:t>
      </w:r>
      <w:r w:rsidR="00B373C6">
        <w:rPr>
          <w:lang w:val="en-US" w:eastAsia="zh-CN"/>
        </w:rPr>
        <w:t>available</w:t>
      </w:r>
      <w:r w:rsidR="00B373C6" w:rsidRPr="00914F8E">
        <w:rPr>
          <w:lang w:val="en-US" w:eastAsia="zh-CN"/>
        </w:rPr>
        <w:t xml:space="preserve">, the loaded serving node may be led to believe that the target </w:t>
      </w:r>
      <w:r w:rsidR="00DF5995">
        <w:rPr>
          <w:lang w:val="en-US" w:eastAsia="zh-CN"/>
        </w:rPr>
        <w:t>cell-A</w:t>
      </w:r>
      <w:r w:rsidR="00B373C6" w:rsidRPr="00914F8E">
        <w:rPr>
          <w:lang w:val="en-US" w:eastAsia="zh-CN"/>
        </w:rPr>
        <w:t xml:space="preserve"> is also overloaded</w:t>
      </w:r>
      <w:r w:rsidR="00312185">
        <w:rPr>
          <w:lang w:val="en-US" w:eastAsia="zh-CN"/>
        </w:rPr>
        <w:t xml:space="preserve">, whereas </w:t>
      </w:r>
      <w:r w:rsidR="00AB6476">
        <w:rPr>
          <w:lang w:val="en-US" w:eastAsia="zh-CN"/>
        </w:rPr>
        <w:t xml:space="preserve">in fact </w:t>
      </w:r>
      <w:r w:rsidR="00312185">
        <w:rPr>
          <w:lang w:val="en-US" w:eastAsia="zh-CN"/>
        </w:rPr>
        <w:t xml:space="preserve">in </w:t>
      </w:r>
      <w:r w:rsidR="00312185" w:rsidRPr="00914F8E">
        <w:rPr>
          <w:lang w:val="en-US" w:eastAsia="zh-CN"/>
        </w:rPr>
        <w:t xml:space="preserve">the beam coverage area where the UE is moving, Cell-A </w:t>
      </w:r>
      <w:r w:rsidR="00AB6476">
        <w:rPr>
          <w:lang w:val="en-US" w:eastAsia="zh-CN"/>
        </w:rPr>
        <w:t>has</w:t>
      </w:r>
      <w:r w:rsidR="00312185" w:rsidRPr="00914F8E">
        <w:rPr>
          <w:lang w:val="en-US" w:eastAsia="zh-CN"/>
        </w:rPr>
        <w:t xml:space="preserve"> enough available capacity to accept the UE.</w:t>
      </w:r>
      <w:r w:rsidR="00B373C6" w:rsidRPr="00914F8E">
        <w:rPr>
          <w:lang w:val="en-US" w:eastAsia="zh-CN"/>
        </w:rPr>
        <w:t xml:space="preserve"> </w:t>
      </w:r>
    </w:p>
    <w:p w14:paraId="532C67CF" w14:textId="3FA7F182" w:rsidR="00B373C6" w:rsidRPr="000E6D46" w:rsidRDefault="00194CF0" w:rsidP="000E6D46">
      <w:pPr>
        <w:pStyle w:val="ListParagraph"/>
        <w:numPr>
          <w:ilvl w:val="0"/>
          <w:numId w:val="39"/>
        </w:numPr>
        <w:ind w:left="1701" w:hanging="1701"/>
        <w:rPr>
          <w:b/>
          <w:lang w:val="en-US" w:eastAsia="zh-CN"/>
        </w:rPr>
      </w:pPr>
      <w:bookmarkStart w:id="3" w:name="_Hlk7425507"/>
      <w:r w:rsidRPr="000E6D46">
        <w:rPr>
          <w:b/>
          <w:lang w:val="en-US" w:eastAsia="zh-CN"/>
        </w:rPr>
        <w:t>Cell-specific load is not enough</w:t>
      </w:r>
      <w:r w:rsidR="0053620F" w:rsidRPr="000E6D46">
        <w:rPr>
          <w:b/>
          <w:lang w:val="en-US" w:eastAsia="zh-CN"/>
        </w:rPr>
        <w:t xml:space="preserve"> per se </w:t>
      </w:r>
      <w:r w:rsidRPr="000E6D46">
        <w:rPr>
          <w:b/>
          <w:lang w:val="en-US" w:eastAsia="zh-CN"/>
        </w:rPr>
        <w:t xml:space="preserve">to characterize the spatial distribution of load in </w:t>
      </w:r>
      <w:r w:rsidR="00725C44" w:rsidRPr="000E6D46">
        <w:rPr>
          <w:b/>
          <w:lang w:val="en-US" w:eastAsia="zh-CN"/>
        </w:rPr>
        <w:t xml:space="preserve">an </w:t>
      </w:r>
      <w:r w:rsidR="002F7AD1" w:rsidRPr="000E6D46">
        <w:rPr>
          <w:b/>
          <w:lang w:val="en-US" w:eastAsia="zh-CN"/>
        </w:rPr>
        <w:t>NR</w:t>
      </w:r>
      <w:r w:rsidR="00E24408" w:rsidRPr="000E6D46">
        <w:rPr>
          <w:b/>
          <w:lang w:val="en-US" w:eastAsia="zh-CN"/>
        </w:rPr>
        <w:t xml:space="preserve"> </w:t>
      </w:r>
      <w:r w:rsidR="00725C44" w:rsidRPr="000E6D46">
        <w:rPr>
          <w:b/>
          <w:lang w:val="en-US" w:eastAsia="zh-CN"/>
        </w:rPr>
        <w:t xml:space="preserve">cell </w:t>
      </w:r>
      <w:r w:rsidR="00E24408" w:rsidRPr="000E6D46">
        <w:rPr>
          <w:b/>
          <w:lang w:val="en-US" w:eastAsia="zh-CN"/>
        </w:rPr>
        <w:t xml:space="preserve">an </w:t>
      </w:r>
      <w:bookmarkStart w:id="4" w:name="_Hlk7423989"/>
      <w:r w:rsidR="00E24408" w:rsidRPr="000E6D46">
        <w:rPr>
          <w:b/>
          <w:lang w:val="en-US" w:eastAsia="zh-CN"/>
        </w:rPr>
        <w:t>may lead to wrong mobility decision for load balance and load sharing</w:t>
      </w:r>
      <w:bookmarkEnd w:id="4"/>
      <w:r w:rsidR="002F7AD1" w:rsidRPr="000E6D46">
        <w:rPr>
          <w:b/>
          <w:lang w:val="en-US" w:eastAsia="zh-CN"/>
        </w:rPr>
        <w:t>.</w:t>
      </w:r>
      <w:r w:rsidR="00E24408" w:rsidRPr="000E6D46">
        <w:rPr>
          <w:b/>
          <w:lang w:val="en-US" w:eastAsia="zh-CN"/>
        </w:rPr>
        <w:t xml:space="preserve"> </w:t>
      </w:r>
      <w:r w:rsidRPr="000E6D46">
        <w:rPr>
          <w:b/>
          <w:lang w:val="en-US" w:eastAsia="zh-CN"/>
        </w:rPr>
        <w:t xml:space="preserve"> </w:t>
      </w:r>
    </w:p>
    <w:bookmarkEnd w:id="3"/>
    <w:p w14:paraId="46515D36" w14:textId="77777777" w:rsidR="00B373C6" w:rsidRPr="000E6D46" w:rsidRDefault="00B373C6">
      <w:pPr>
        <w:rPr>
          <w:b/>
          <w:lang w:val="en-US" w:eastAsia="zh-CN"/>
        </w:rPr>
      </w:pPr>
    </w:p>
    <w:p w14:paraId="50916A62" w14:textId="7A3C018C" w:rsidR="002C49E4" w:rsidRPr="00224E93" w:rsidRDefault="00AB6476">
      <w:pPr>
        <w:jc w:val="both"/>
        <w:rPr>
          <w:lang w:val="en-US" w:eastAsia="zh-CN"/>
        </w:rPr>
      </w:pPr>
      <w:r w:rsidRPr="00410306">
        <w:rPr>
          <w:lang w:val="en-US" w:eastAsia="zh-CN"/>
        </w:rPr>
        <w:t xml:space="preserve">This issue could be resolved by introducing load definition per SSB beam coverage area. </w:t>
      </w:r>
      <w:r w:rsidR="0086132C">
        <w:t xml:space="preserve">Since </w:t>
      </w:r>
      <w:r w:rsidR="00943737" w:rsidRPr="00914F8E">
        <w:rPr>
          <w:lang w:val="en-US" w:eastAsia="zh-CN"/>
        </w:rPr>
        <w:t>SSB beam</w:t>
      </w:r>
      <w:r w:rsidR="00187BE6" w:rsidRPr="00914F8E">
        <w:rPr>
          <w:lang w:val="en-US" w:eastAsia="zh-CN"/>
        </w:rPr>
        <w:t>s</w:t>
      </w:r>
      <w:r w:rsidR="00710F60" w:rsidRPr="00914F8E">
        <w:rPr>
          <w:lang w:val="en-US" w:eastAsia="zh-CN"/>
        </w:rPr>
        <w:t xml:space="preserve"> </w:t>
      </w:r>
      <w:r w:rsidR="00054C6F" w:rsidRPr="00914F8E">
        <w:rPr>
          <w:lang w:val="en-US" w:eastAsia="zh-CN"/>
        </w:rPr>
        <w:t>can be</w:t>
      </w:r>
      <w:r w:rsidR="00D60DA6" w:rsidRPr="00914F8E">
        <w:rPr>
          <w:lang w:val="en-US" w:eastAsia="zh-CN"/>
        </w:rPr>
        <w:t xml:space="preserve"> transmitted</w:t>
      </w:r>
      <w:r w:rsidR="008D0CDF" w:rsidRPr="00914F8E">
        <w:rPr>
          <w:lang w:val="en-US" w:eastAsia="zh-CN"/>
        </w:rPr>
        <w:t xml:space="preserve"> </w:t>
      </w:r>
      <w:r w:rsidR="00D60DA6" w:rsidRPr="00914F8E">
        <w:rPr>
          <w:lang w:val="en-US" w:eastAsia="zh-CN"/>
        </w:rPr>
        <w:t xml:space="preserve">to cover </w:t>
      </w:r>
      <w:r w:rsidR="00D231D9" w:rsidRPr="00914F8E">
        <w:rPr>
          <w:lang w:val="en-US" w:eastAsia="zh-CN"/>
        </w:rPr>
        <w:t>different part</w:t>
      </w:r>
      <w:r w:rsidR="00D60DA6" w:rsidRPr="00914F8E">
        <w:rPr>
          <w:lang w:val="en-US" w:eastAsia="zh-CN"/>
        </w:rPr>
        <w:t>s</w:t>
      </w:r>
      <w:r w:rsidR="00D231D9" w:rsidRPr="00914F8E">
        <w:rPr>
          <w:lang w:val="en-US" w:eastAsia="zh-CN"/>
        </w:rPr>
        <w:t xml:space="preserve"> of the </w:t>
      </w:r>
      <w:r w:rsidR="006C5F08" w:rsidRPr="00914F8E">
        <w:rPr>
          <w:lang w:val="en-US" w:eastAsia="zh-CN"/>
        </w:rPr>
        <w:t xml:space="preserve">cell’s </w:t>
      </w:r>
      <w:r w:rsidR="00D231D9" w:rsidRPr="00914F8E">
        <w:rPr>
          <w:lang w:val="en-US" w:eastAsia="zh-CN"/>
        </w:rPr>
        <w:t>coverage area</w:t>
      </w:r>
      <w:r w:rsidR="00710F60" w:rsidRPr="00914F8E">
        <w:rPr>
          <w:lang w:val="en-US" w:eastAsia="zh-CN"/>
        </w:rPr>
        <w:t>,</w:t>
      </w:r>
      <w:r w:rsidR="001E7742" w:rsidRPr="00914F8E">
        <w:rPr>
          <w:lang w:val="en-US" w:eastAsia="zh-CN"/>
        </w:rPr>
        <w:t xml:space="preserve"> </w:t>
      </w:r>
      <w:r w:rsidR="00A43EA5" w:rsidRPr="00914F8E">
        <w:rPr>
          <w:lang w:val="en-US" w:eastAsia="zh-CN"/>
        </w:rPr>
        <w:t>and given that, from a UE point of view, measurement reports are based on detection of such SSBs</w:t>
      </w:r>
      <w:r w:rsidR="00E73586" w:rsidRPr="00914F8E">
        <w:rPr>
          <w:lang w:val="en-US" w:eastAsia="zh-CN"/>
        </w:rPr>
        <w:t xml:space="preserve">, </w:t>
      </w:r>
      <w:r w:rsidR="00A43EA5" w:rsidRPr="00914F8E">
        <w:rPr>
          <w:lang w:val="en-US" w:eastAsia="zh-CN"/>
        </w:rPr>
        <w:t xml:space="preserve">it is possible to </w:t>
      </w:r>
      <w:r w:rsidR="00E73586" w:rsidRPr="00914F8E">
        <w:rPr>
          <w:lang w:val="en-US" w:eastAsia="zh-CN"/>
        </w:rPr>
        <w:t xml:space="preserve">divide the cell in SSB coverage areas and to determine parameters such as load, composite capacity, </w:t>
      </w:r>
      <w:r w:rsidR="00983417" w:rsidRPr="00914F8E">
        <w:rPr>
          <w:lang w:val="en-US" w:eastAsia="zh-CN"/>
        </w:rPr>
        <w:t xml:space="preserve">resource status information to such partition of the cell. With this approach, </w:t>
      </w:r>
      <w:r w:rsidR="001E7742" w:rsidRPr="00914F8E">
        <w:rPr>
          <w:lang w:val="en-US" w:eastAsia="zh-CN"/>
        </w:rPr>
        <w:t xml:space="preserve">SSB measurement reports </w:t>
      </w:r>
      <w:r w:rsidR="00983417" w:rsidRPr="00914F8E">
        <w:rPr>
          <w:lang w:val="en-US" w:eastAsia="zh-CN"/>
        </w:rPr>
        <w:t xml:space="preserve">from a UE </w:t>
      </w:r>
      <w:r w:rsidR="001E7742" w:rsidRPr="00914F8E">
        <w:rPr>
          <w:lang w:val="en-US" w:eastAsia="zh-CN"/>
        </w:rPr>
        <w:t xml:space="preserve">allow the network to </w:t>
      </w:r>
      <w:r w:rsidR="000C211C" w:rsidRPr="00914F8E">
        <w:rPr>
          <w:lang w:val="en-US" w:eastAsia="zh-CN"/>
        </w:rPr>
        <w:t>assess</w:t>
      </w:r>
      <w:r w:rsidR="00983417" w:rsidRPr="00914F8E">
        <w:rPr>
          <w:lang w:val="en-US" w:eastAsia="zh-CN"/>
        </w:rPr>
        <w:t xml:space="preserve"> which </w:t>
      </w:r>
      <w:r w:rsidR="00866897" w:rsidRPr="00914F8E">
        <w:rPr>
          <w:lang w:val="en-US" w:eastAsia="zh-CN"/>
        </w:rPr>
        <w:t>portion of the cell the UE is in proximity of and</w:t>
      </w:r>
      <w:r w:rsidR="000C211C" w:rsidRPr="00914F8E">
        <w:rPr>
          <w:lang w:val="en-US" w:eastAsia="zh-CN"/>
        </w:rPr>
        <w:t xml:space="preserve"> the resource status information</w:t>
      </w:r>
      <w:r w:rsidR="00427382" w:rsidRPr="00914F8E">
        <w:rPr>
          <w:lang w:val="en-US" w:eastAsia="zh-CN"/>
        </w:rPr>
        <w:t xml:space="preserve"> for </w:t>
      </w:r>
      <w:r w:rsidR="00866897" w:rsidRPr="00914F8E">
        <w:rPr>
          <w:lang w:val="en-US" w:eastAsia="zh-CN"/>
        </w:rPr>
        <w:t>that partition of the</w:t>
      </w:r>
      <w:r w:rsidR="00427382" w:rsidRPr="00914F8E">
        <w:rPr>
          <w:lang w:val="en-US" w:eastAsia="zh-CN"/>
        </w:rPr>
        <w:t xml:space="preserve"> NR cell</w:t>
      </w:r>
      <w:r w:rsidR="00472C76" w:rsidRPr="00914F8E">
        <w:rPr>
          <w:lang w:val="en-US" w:eastAsia="zh-CN"/>
        </w:rPr>
        <w:t>.</w:t>
      </w:r>
      <w:r w:rsidR="00A70AB7" w:rsidRPr="00914F8E">
        <w:rPr>
          <w:lang w:val="en-US" w:eastAsia="zh-CN"/>
        </w:rPr>
        <w:t xml:space="preserve"> </w:t>
      </w:r>
      <w:r w:rsidR="001B76C1">
        <w:rPr>
          <w:lang w:val="en-US" w:eastAsia="zh-CN"/>
        </w:rPr>
        <w:t xml:space="preserve">Load information </w:t>
      </w:r>
      <w:r w:rsidR="00966338">
        <w:rPr>
          <w:lang w:val="en-US" w:eastAsia="zh-CN"/>
        </w:rPr>
        <w:t xml:space="preserve">defined </w:t>
      </w:r>
      <w:r w:rsidR="001B76C1">
        <w:rPr>
          <w:lang w:val="en-US" w:eastAsia="zh-CN"/>
        </w:rPr>
        <w:t xml:space="preserve">per SSB </w:t>
      </w:r>
      <w:r w:rsidR="00966338">
        <w:rPr>
          <w:lang w:val="en-US" w:eastAsia="zh-CN"/>
        </w:rPr>
        <w:t xml:space="preserve">coverage area would provide </w:t>
      </w:r>
      <w:r w:rsidR="00A70AB7" w:rsidRPr="00914F8E">
        <w:rPr>
          <w:lang w:val="en-US" w:eastAsia="zh-CN"/>
        </w:rPr>
        <w:t xml:space="preserve">a much finer granularity </w:t>
      </w:r>
      <w:r w:rsidR="00707710" w:rsidRPr="00914F8E">
        <w:rPr>
          <w:lang w:val="en-US" w:eastAsia="zh-CN"/>
        </w:rPr>
        <w:t xml:space="preserve">than </w:t>
      </w:r>
      <w:r w:rsidR="00A3671A">
        <w:rPr>
          <w:lang w:val="en-US" w:eastAsia="zh-CN"/>
        </w:rPr>
        <w:t xml:space="preserve">only cell-specific </w:t>
      </w:r>
      <w:r w:rsidR="008D29D1">
        <w:rPr>
          <w:lang w:val="en-US" w:eastAsia="zh-CN"/>
        </w:rPr>
        <w:t xml:space="preserve">load information </w:t>
      </w:r>
      <w:r w:rsidR="00646068">
        <w:rPr>
          <w:lang w:val="en-US" w:eastAsia="zh-CN"/>
        </w:rPr>
        <w:t>and enable more efficient load balancing solutions compared to LTE</w:t>
      </w:r>
      <w:r w:rsidR="00707710" w:rsidRPr="00914F8E">
        <w:rPr>
          <w:lang w:val="en-US" w:eastAsia="zh-CN"/>
        </w:rPr>
        <w:t>.</w:t>
      </w:r>
    </w:p>
    <w:p w14:paraId="27408578" w14:textId="5D11058F" w:rsidR="008E1646" w:rsidRPr="000E6D46" w:rsidRDefault="0086132C" w:rsidP="00AA568F">
      <w:pPr>
        <w:pStyle w:val="ListParagraph"/>
        <w:numPr>
          <w:ilvl w:val="0"/>
          <w:numId w:val="37"/>
        </w:numPr>
        <w:ind w:left="1701" w:hanging="1701"/>
        <w:jc w:val="both"/>
        <w:rPr>
          <w:b/>
          <w:lang w:val="en-US" w:eastAsia="zh-CN"/>
        </w:rPr>
      </w:pPr>
      <w:r w:rsidRPr="000E6D46">
        <w:rPr>
          <w:b/>
          <w:lang w:val="en-US" w:eastAsia="zh-CN"/>
        </w:rPr>
        <w:t>Load</w:t>
      </w:r>
      <w:r w:rsidR="00AA568F" w:rsidRPr="000E6D46">
        <w:rPr>
          <w:b/>
          <w:lang w:val="en-US" w:eastAsia="zh-CN"/>
        </w:rPr>
        <w:t xml:space="preserve"> definition per cell and SSB coverage area</w:t>
      </w:r>
      <w:r w:rsidRPr="000E6D46">
        <w:rPr>
          <w:b/>
          <w:lang w:val="en-US" w:eastAsia="zh-CN"/>
        </w:rPr>
        <w:t xml:space="preserve"> should be supported for MLB in NR</w:t>
      </w:r>
      <w:r w:rsidR="00AA568F" w:rsidRPr="000E6D46">
        <w:rPr>
          <w:b/>
          <w:lang w:val="en-US" w:eastAsia="zh-CN"/>
        </w:rPr>
        <w:t>.</w:t>
      </w:r>
    </w:p>
    <w:p w14:paraId="29858923" w14:textId="49B7B3CB" w:rsidR="00336C83" w:rsidRDefault="00336C83">
      <w:pPr>
        <w:jc w:val="both"/>
        <w:rPr>
          <w:b/>
          <w:highlight w:val="yellow"/>
          <w:lang w:val="en-US" w:eastAsia="zh-CN"/>
        </w:rPr>
      </w:pPr>
    </w:p>
    <w:p w14:paraId="7BC6820B" w14:textId="2303A356" w:rsidR="002803DE" w:rsidRDefault="0065536F" w:rsidP="00C70CB0">
      <w:pPr>
        <w:jc w:val="both"/>
        <w:rPr>
          <w:lang w:val="en-US" w:eastAsia="zh-CN"/>
        </w:rPr>
      </w:pPr>
      <w:r w:rsidRPr="00410306">
        <w:rPr>
          <w:lang w:val="en-US" w:eastAsia="zh-CN"/>
        </w:rPr>
        <w:t xml:space="preserve">Given the limited amount of time available, </w:t>
      </w:r>
      <w:r w:rsidR="00331B6A" w:rsidRPr="00410306">
        <w:rPr>
          <w:lang w:val="en-US" w:eastAsia="zh-CN"/>
        </w:rPr>
        <w:t>the discussion of additional load definitions, such as load per slice and per QoS, should be left for further optimization once RAN3 has agreed a basic solution for MLB in NR</w:t>
      </w:r>
      <w:r w:rsidR="00457E3C">
        <w:rPr>
          <w:lang w:val="en-US" w:eastAsia="zh-CN"/>
        </w:rPr>
        <w:t xml:space="preserve">. </w:t>
      </w:r>
      <w:r w:rsidR="00C70CB0" w:rsidRPr="000E6D46">
        <w:rPr>
          <w:lang w:val="en-US" w:eastAsia="zh-CN"/>
        </w:rPr>
        <w:t>Load</w:t>
      </w:r>
      <w:r w:rsidR="00336C83">
        <w:rPr>
          <w:lang w:val="en-US" w:eastAsia="zh-CN"/>
        </w:rPr>
        <w:t xml:space="preserve"> </w:t>
      </w:r>
      <w:r w:rsidR="00C70CB0">
        <w:rPr>
          <w:lang w:val="en-US" w:eastAsia="zh-CN"/>
        </w:rPr>
        <w:t>information</w:t>
      </w:r>
      <w:r w:rsidR="00336C83">
        <w:rPr>
          <w:lang w:val="en-US" w:eastAsia="zh-CN"/>
        </w:rPr>
        <w:t xml:space="preserve"> per network slice</w:t>
      </w:r>
      <w:r w:rsidR="00C70CB0">
        <w:rPr>
          <w:lang w:val="en-US" w:eastAsia="zh-CN"/>
        </w:rPr>
        <w:t>, for instance,</w:t>
      </w:r>
      <w:r w:rsidR="00336C83">
        <w:rPr>
          <w:lang w:val="en-US" w:eastAsia="zh-CN"/>
        </w:rPr>
        <w:t xml:space="preserve"> could be useful to balance and more dynamically coordinate the resource allocation to network slices. However, this optimization </w:t>
      </w:r>
      <w:r w:rsidR="004B24C5">
        <w:rPr>
          <w:lang w:val="en-US" w:eastAsia="zh-CN"/>
        </w:rPr>
        <w:t xml:space="preserve">is limited to a </w:t>
      </w:r>
      <w:proofErr w:type="gramStart"/>
      <w:r w:rsidR="004B24C5">
        <w:rPr>
          <w:lang w:val="en-US" w:eastAsia="zh-CN"/>
        </w:rPr>
        <w:t>particular type of deployment</w:t>
      </w:r>
      <w:proofErr w:type="gramEnd"/>
      <w:r w:rsidR="004B24C5">
        <w:rPr>
          <w:lang w:val="en-US" w:eastAsia="zh-CN"/>
        </w:rPr>
        <w:t xml:space="preserve"> </w:t>
      </w:r>
      <w:r w:rsidR="00302243">
        <w:rPr>
          <w:lang w:val="en-US" w:eastAsia="zh-CN"/>
        </w:rPr>
        <w:t xml:space="preserve">that can be considered </w:t>
      </w:r>
      <w:r w:rsidR="002803DE">
        <w:rPr>
          <w:lang w:val="en-US" w:eastAsia="zh-CN"/>
        </w:rPr>
        <w:t xml:space="preserve">in a second phase. </w:t>
      </w:r>
    </w:p>
    <w:p w14:paraId="726DB451" w14:textId="01FA3C92" w:rsidR="00336C83" w:rsidRPr="000E6D46" w:rsidRDefault="002803DE" w:rsidP="000E6D46">
      <w:pPr>
        <w:pStyle w:val="ListParagraph"/>
        <w:numPr>
          <w:ilvl w:val="0"/>
          <w:numId w:val="37"/>
        </w:numPr>
        <w:ind w:left="1701" w:hanging="1701"/>
        <w:jc w:val="both"/>
        <w:rPr>
          <w:b/>
          <w:lang w:val="en-US" w:eastAsia="zh-CN"/>
        </w:rPr>
      </w:pPr>
      <w:r w:rsidRPr="000E6D46">
        <w:rPr>
          <w:b/>
          <w:lang w:val="en-US" w:eastAsia="zh-CN"/>
        </w:rPr>
        <w:t>The discussion of additional load definitions, such as load per slice and per QoS, should be left for further optimization once RAN3 has agreed a basic solution for MLB in NR.</w:t>
      </w:r>
    </w:p>
    <w:p w14:paraId="11DD230B" w14:textId="77777777" w:rsidR="002803DE" w:rsidRPr="002803DE" w:rsidRDefault="002803DE">
      <w:pPr>
        <w:jc w:val="both"/>
        <w:rPr>
          <w:lang w:val="en-US" w:eastAsia="zh-CN"/>
        </w:rPr>
      </w:pPr>
    </w:p>
    <w:p w14:paraId="2779458B" w14:textId="77777777" w:rsidR="00336C83" w:rsidRDefault="00336C83" w:rsidP="00336C83">
      <w:pPr>
        <w:jc w:val="both"/>
        <w:rPr>
          <w:b/>
          <w:highlight w:val="yellow"/>
          <w:lang w:val="en-US" w:eastAsia="zh-CN"/>
        </w:rPr>
      </w:pPr>
    </w:p>
    <w:p w14:paraId="62935884" w14:textId="5E8B9967" w:rsidR="00336C83" w:rsidRPr="000E6D46" w:rsidRDefault="00CA389E" w:rsidP="000E6D46">
      <w:pPr>
        <w:pStyle w:val="Heading2"/>
      </w:pPr>
      <w:r w:rsidRPr="000E6D46">
        <w:lastRenderedPageBreak/>
        <w:t xml:space="preserve">Characterization of load per SSB coverage area </w:t>
      </w:r>
    </w:p>
    <w:p w14:paraId="491FE54F" w14:textId="7D26F6FC" w:rsidR="00AC6B5A" w:rsidRDefault="003F326A" w:rsidP="00AC6B5A">
      <w:pPr>
        <w:pStyle w:val="Heading3"/>
      </w:pPr>
      <w:r>
        <w:t>LTE</w:t>
      </w:r>
      <w:r w:rsidR="007464C8">
        <w:t xml:space="preserve"> c</w:t>
      </w:r>
      <w:r w:rsidR="00AC6B5A">
        <w:t xml:space="preserve">omposite </w:t>
      </w:r>
      <w:r w:rsidR="00B83BAE">
        <w:t xml:space="preserve">available </w:t>
      </w:r>
      <w:r w:rsidR="00AC6B5A">
        <w:t>capacity</w:t>
      </w:r>
    </w:p>
    <w:p w14:paraId="3ED04C4B" w14:textId="77F26BD3" w:rsidR="008633BC" w:rsidRPr="008633BC" w:rsidRDefault="007464C8" w:rsidP="008633BC">
      <w:pPr>
        <w:jc w:val="both"/>
        <w:rPr>
          <w:lang w:val="en-US" w:eastAsia="zh-CN"/>
        </w:rPr>
      </w:pPr>
      <w:r>
        <w:rPr>
          <w:lang w:val="en-US" w:eastAsia="zh-CN"/>
        </w:rPr>
        <w:t>The LTE system defines the cell</w:t>
      </w:r>
      <w:r w:rsidR="00E4081F" w:rsidRPr="00E4081F">
        <w:rPr>
          <w:lang w:val="en-US" w:eastAsia="zh-CN"/>
        </w:rPr>
        <w:t xml:space="preserve"> </w:t>
      </w:r>
      <w:r w:rsidR="00E4081F" w:rsidRPr="00E4081F">
        <w:rPr>
          <w:i/>
          <w:lang w:val="en-US" w:eastAsia="zh-CN"/>
        </w:rPr>
        <w:t>Composite Available Capacity</w:t>
      </w:r>
      <w:r w:rsidR="00E4081F" w:rsidRPr="00E4081F">
        <w:rPr>
          <w:lang w:val="en-US" w:eastAsia="zh-CN"/>
        </w:rPr>
        <w:t xml:space="preserve"> </w:t>
      </w:r>
      <w:r>
        <w:rPr>
          <w:lang w:val="en-US" w:eastAsia="zh-CN"/>
        </w:rPr>
        <w:t>to</w:t>
      </w:r>
      <w:r w:rsidR="00A87EAD">
        <w:rPr>
          <w:lang w:val="en-US" w:eastAsia="zh-CN"/>
        </w:rPr>
        <w:t xml:space="preserve"> </w:t>
      </w:r>
      <w:r w:rsidR="00E4081F" w:rsidRPr="00E4081F">
        <w:rPr>
          <w:lang w:val="en-US" w:eastAsia="zh-CN"/>
        </w:rPr>
        <w:t xml:space="preserve">indicate the overall available resource level in </w:t>
      </w:r>
      <w:r w:rsidR="00A87EAD">
        <w:rPr>
          <w:lang w:val="en-US" w:eastAsia="zh-CN"/>
        </w:rPr>
        <w:t>a</w:t>
      </w:r>
      <w:r w:rsidR="00E4081F" w:rsidRPr="00E4081F">
        <w:rPr>
          <w:lang w:val="en-US" w:eastAsia="zh-CN"/>
        </w:rPr>
        <w:t xml:space="preserve"> cell in either Downlink or Uplink</w:t>
      </w:r>
      <w:r w:rsidR="0069771A">
        <w:rPr>
          <w:lang w:val="en-US" w:eastAsia="zh-CN"/>
        </w:rPr>
        <w:t xml:space="preserve">. </w:t>
      </w:r>
      <w:r w:rsidR="008633BC">
        <w:rPr>
          <w:lang w:val="en-US" w:eastAsia="zh-CN"/>
        </w:rPr>
        <w:t xml:space="preserve">The </w:t>
      </w:r>
      <w:r w:rsidR="008633BC" w:rsidRPr="008633BC">
        <w:rPr>
          <w:lang w:val="en-US" w:eastAsia="zh-CN"/>
        </w:rPr>
        <w:t>composite available capacity</w:t>
      </w:r>
      <w:r w:rsidR="00DC2584">
        <w:rPr>
          <w:lang w:val="en-US" w:eastAsia="zh-CN"/>
        </w:rPr>
        <w:t xml:space="preserve"> (CAC)</w:t>
      </w:r>
      <w:r w:rsidR="008633BC">
        <w:rPr>
          <w:lang w:val="en-US" w:eastAsia="zh-CN"/>
        </w:rPr>
        <w:t xml:space="preserve"> is</w:t>
      </w:r>
      <w:r w:rsidR="0011387E">
        <w:rPr>
          <w:lang w:val="en-US" w:eastAsia="zh-CN"/>
        </w:rPr>
        <w:t xml:space="preserve"> defined </w:t>
      </w:r>
      <w:proofErr w:type="gramStart"/>
      <w:r w:rsidR="0011387E" w:rsidRPr="007A4097">
        <w:rPr>
          <w:lang w:val="en-US" w:eastAsia="zh-CN"/>
        </w:rPr>
        <w:t>as</w:t>
      </w:r>
      <w:r w:rsidR="008633BC" w:rsidRPr="007A4097">
        <w:rPr>
          <w:lang w:val="en-US" w:eastAsia="zh-CN"/>
        </w:rPr>
        <w:t xml:space="preserve">  (</w:t>
      </w:r>
      <w:proofErr w:type="gramEnd"/>
      <w:r w:rsidR="008633BC" w:rsidRPr="007A4097">
        <w:rPr>
          <w:lang w:val="en-US" w:eastAsia="zh-CN"/>
        </w:rPr>
        <w:t xml:space="preserve">cf. </w:t>
      </w:r>
      <w:r w:rsidR="006D168F" w:rsidRPr="007A4097">
        <w:rPr>
          <w:lang w:val="en-US" w:eastAsia="zh-CN"/>
        </w:rPr>
        <w:t>32.522</w:t>
      </w:r>
      <w:r w:rsidR="00172E2D" w:rsidRPr="007A4097">
        <w:rPr>
          <w:lang w:val="en-US" w:eastAsia="zh-CN"/>
        </w:rPr>
        <w:t xml:space="preserve"> </w:t>
      </w:r>
      <w:r w:rsidR="00EB4B98">
        <w:rPr>
          <w:lang w:val="en-US" w:eastAsia="zh-CN"/>
        </w:rPr>
        <w:fldChar w:fldCharType="begin"/>
      </w:r>
      <w:r w:rsidR="00EB4B98">
        <w:rPr>
          <w:lang w:val="en-US" w:eastAsia="zh-CN"/>
        </w:rPr>
        <w:instrText xml:space="preserve"> REF _Ref7426293 \r \h </w:instrText>
      </w:r>
      <w:r w:rsidR="00EB4B98">
        <w:rPr>
          <w:lang w:val="en-US" w:eastAsia="zh-CN"/>
        </w:rPr>
      </w:r>
      <w:r w:rsidR="00EB4B98">
        <w:rPr>
          <w:lang w:val="en-US" w:eastAsia="zh-CN"/>
        </w:rPr>
        <w:fldChar w:fldCharType="separate"/>
      </w:r>
      <w:r w:rsidR="00EB4B98">
        <w:rPr>
          <w:lang w:val="en-US" w:eastAsia="zh-CN"/>
        </w:rPr>
        <w:t>[2]</w:t>
      </w:r>
      <w:r w:rsidR="00EB4B98">
        <w:rPr>
          <w:lang w:val="en-US" w:eastAsia="zh-CN"/>
        </w:rPr>
        <w:fldChar w:fldCharType="end"/>
      </w:r>
      <w:r w:rsidR="006D168F" w:rsidRPr="007A4097">
        <w:rPr>
          <w:lang w:val="en-US" w:eastAsia="zh-CN"/>
        </w:rPr>
        <w:t>)</w:t>
      </w:r>
    </w:p>
    <w:p w14:paraId="3B4420E5" w14:textId="7E5D0260" w:rsidR="00E4081F" w:rsidRDefault="00DC2584" w:rsidP="00B83BAE">
      <w:pPr>
        <w:jc w:val="center"/>
        <w:rPr>
          <w:lang w:val="en-US" w:eastAsia="zh-CN"/>
        </w:rPr>
      </w:pPr>
      <w:r>
        <w:rPr>
          <w:lang w:val="en-US" w:eastAsia="zh-CN"/>
        </w:rPr>
        <w:t xml:space="preserve">Composite </w:t>
      </w:r>
      <w:r w:rsidR="008633BC" w:rsidRPr="008633BC">
        <w:rPr>
          <w:lang w:val="en-US" w:eastAsia="zh-CN"/>
        </w:rPr>
        <w:t>Available Capacity = Cell Capacity Class Value * Capacity Value</w:t>
      </w:r>
      <w:r w:rsidR="00C82D13">
        <w:rPr>
          <w:lang w:val="en-US" w:eastAsia="zh-CN"/>
        </w:rPr>
        <w:t>,</w:t>
      </w:r>
    </w:p>
    <w:p w14:paraId="1686A1DD" w14:textId="77777777" w:rsidR="00004A23" w:rsidRDefault="00C82D13" w:rsidP="00FA5CCA">
      <w:pPr>
        <w:jc w:val="both"/>
        <w:rPr>
          <w:lang w:val="en-US" w:eastAsia="zh-CN"/>
        </w:rPr>
      </w:pPr>
      <w:r>
        <w:rPr>
          <w:lang w:val="en-US" w:eastAsia="zh-CN"/>
        </w:rPr>
        <w:t>w</w:t>
      </w:r>
      <w:r w:rsidR="006D168F">
        <w:rPr>
          <w:lang w:val="en-US" w:eastAsia="zh-CN"/>
        </w:rPr>
        <w:t>her</w:t>
      </w:r>
      <w:r w:rsidR="00004A23">
        <w:rPr>
          <w:lang w:val="en-US" w:eastAsia="zh-CN"/>
        </w:rPr>
        <w:t>e:</w:t>
      </w:r>
      <w:r w:rsidR="006D168F">
        <w:rPr>
          <w:lang w:val="en-US" w:eastAsia="zh-CN"/>
        </w:rPr>
        <w:t xml:space="preserve"> </w:t>
      </w:r>
    </w:p>
    <w:p w14:paraId="255D516F" w14:textId="6BDA3B9D" w:rsidR="00105CC7" w:rsidRPr="00C6225C" w:rsidRDefault="00004A23" w:rsidP="00C6225C">
      <w:pPr>
        <w:pStyle w:val="ListParagraph"/>
        <w:numPr>
          <w:ilvl w:val="0"/>
          <w:numId w:val="32"/>
        </w:numPr>
        <w:jc w:val="both"/>
        <w:rPr>
          <w:noProof/>
          <w:lang w:val="en-US"/>
        </w:rPr>
      </w:pPr>
      <w:r w:rsidRPr="00C6225C">
        <w:rPr>
          <w:iCs/>
          <w:lang w:val="en-US"/>
        </w:rPr>
        <w:t>T</w:t>
      </w:r>
      <w:r>
        <w:rPr>
          <w:iCs/>
          <w:lang w:val="en-US"/>
        </w:rPr>
        <w:t xml:space="preserve">he </w:t>
      </w:r>
      <w:r w:rsidR="00F56EDC" w:rsidRPr="00004A23">
        <w:rPr>
          <w:i/>
          <w:iCs/>
          <w:lang w:val="en-US"/>
        </w:rPr>
        <w:t xml:space="preserve">Cell Capacity Class Value </w:t>
      </w:r>
      <w:r w:rsidR="00C0416D">
        <w:rPr>
          <w:lang w:val="en-US"/>
        </w:rPr>
        <w:t>(CCCV)</w:t>
      </w:r>
      <w:r w:rsidR="00F56EDC" w:rsidRPr="00004A23">
        <w:rPr>
          <w:lang w:val="en-US"/>
        </w:rPr>
        <w:t xml:space="preserve"> indicates the </w:t>
      </w:r>
      <w:r w:rsidR="00F56EDC" w:rsidRPr="00004A23">
        <w:rPr>
          <w:noProof/>
          <w:lang w:val="en-US"/>
        </w:rPr>
        <w:t>value that classifies the cell capacity with regards to the other cells</w:t>
      </w:r>
      <w:r w:rsidR="003C6BDC">
        <w:rPr>
          <w:noProof/>
          <w:lang w:val="en-US"/>
        </w:rPr>
        <w:t>. T</w:t>
      </w:r>
      <w:r w:rsidR="00F56EDC" w:rsidRPr="00004A23">
        <w:rPr>
          <w:noProof/>
          <w:lang w:val="en-US"/>
        </w:rPr>
        <w:t xml:space="preserve">he </w:t>
      </w:r>
      <w:r w:rsidR="00F56EDC" w:rsidRPr="00004A23">
        <w:rPr>
          <w:i/>
          <w:noProof/>
          <w:lang w:val="en-US"/>
        </w:rPr>
        <w:t xml:space="preserve">Cell Capacity Class Value </w:t>
      </w:r>
      <w:r w:rsidR="00F56EDC" w:rsidRPr="00004A23">
        <w:rPr>
          <w:noProof/>
          <w:lang w:val="en-US"/>
        </w:rPr>
        <w:t>IE</w:t>
      </w:r>
      <w:r w:rsidR="00F56EDC" w:rsidRPr="00004A23">
        <w:rPr>
          <w:i/>
          <w:noProof/>
          <w:lang w:val="en-US"/>
        </w:rPr>
        <w:t xml:space="preserve"> </w:t>
      </w:r>
      <w:r w:rsidR="00F56EDC" w:rsidRPr="00004A23">
        <w:rPr>
          <w:noProof/>
          <w:lang w:val="en-US"/>
        </w:rPr>
        <w:t xml:space="preserve">only indicates resources that are configured for traffic purposes </w:t>
      </w:r>
      <w:r w:rsidR="00FA5367" w:rsidRPr="00004A23">
        <w:rPr>
          <w:noProof/>
          <w:lang w:val="en-US"/>
        </w:rPr>
        <w:t xml:space="preserve">and it is expressed with an </w:t>
      </w:r>
      <w:r w:rsidR="00530DC3" w:rsidRPr="00004A23">
        <w:rPr>
          <w:noProof/>
          <w:lang w:val="en-US"/>
        </w:rPr>
        <w:t>integer</w:t>
      </w:r>
      <w:r w:rsidR="00FA5367" w:rsidRPr="00004A23">
        <w:rPr>
          <w:noProof/>
          <w:lang w:val="en-US"/>
        </w:rPr>
        <w:t xml:space="preserve"> </w:t>
      </w:r>
      <w:r w:rsidR="00AC1073" w:rsidRPr="00004A23">
        <w:rPr>
          <w:noProof/>
          <w:lang w:val="en-US"/>
        </w:rPr>
        <w:t>ran</w:t>
      </w:r>
      <w:r w:rsidR="00C82D13" w:rsidRPr="00004A23">
        <w:rPr>
          <w:noProof/>
          <w:lang w:val="en-US"/>
        </w:rPr>
        <w:t>g</w:t>
      </w:r>
      <w:r w:rsidR="00AC1073" w:rsidRPr="00004A23">
        <w:rPr>
          <w:noProof/>
          <w:lang w:val="en-US"/>
        </w:rPr>
        <w:t>ing from 1</w:t>
      </w:r>
      <w:r w:rsidR="00230C68" w:rsidRPr="00004A23">
        <w:rPr>
          <w:noProof/>
          <w:lang w:val="en-US"/>
        </w:rPr>
        <w:t xml:space="preserve">, </w:t>
      </w:r>
      <w:r w:rsidR="00AC1073" w:rsidRPr="00004A23">
        <w:rPr>
          <w:noProof/>
          <w:lang w:val="en-US"/>
        </w:rPr>
        <w:t xml:space="preserve">indicating </w:t>
      </w:r>
      <w:r w:rsidR="00D632D4" w:rsidRPr="00004A23">
        <w:rPr>
          <w:rFonts w:cs="Arial"/>
          <w:noProof/>
          <w:szCs w:val="18"/>
          <w:lang w:val="en-US" w:eastAsia="ja-JP"/>
        </w:rPr>
        <w:t>the minimum cell capacity</w:t>
      </w:r>
      <w:r w:rsidR="00230C68" w:rsidRPr="00004A23">
        <w:rPr>
          <w:rFonts w:cs="Arial"/>
          <w:noProof/>
          <w:szCs w:val="18"/>
          <w:lang w:val="en-US" w:eastAsia="ja-JP"/>
        </w:rPr>
        <w:t>,</w:t>
      </w:r>
      <w:r w:rsidR="00D632D4" w:rsidRPr="00004A23">
        <w:rPr>
          <w:rFonts w:cs="Arial"/>
          <w:noProof/>
          <w:szCs w:val="18"/>
          <w:lang w:val="en-US" w:eastAsia="ja-JP"/>
        </w:rPr>
        <w:t xml:space="preserve"> to 100 indicating the maximum cell capacity</w:t>
      </w:r>
      <w:r w:rsidR="00230C68" w:rsidRPr="00004A23">
        <w:rPr>
          <w:rFonts w:cs="Arial"/>
          <w:noProof/>
          <w:szCs w:val="18"/>
          <w:lang w:val="en-US" w:eastAsia="ja-JP"/>
        </w:rPr>
        <w:t>,</w:t>
      </w:r>
      <w:r w:rsidR="00D632D4" w:rsidRPr="00004A23">
        <w:rPr>
          <w:rFonts w:cs="Arial"/>
          <w:noProof/>
          <w:szCs w:val="18"/>
          <w:lang w:val="en-US" w:eastAsia="ja-JP"/>
        </w:rPr>
        <w:t xml:space="preserve"> following a linear relation between cell capacity and </w:t>
      </w:r>
      <w:r w:rsidRPr="00004A23">
        <w:rPr>
          <w:rFonts w:cs="Arial"/>
          <w:noProof/>
          <w:szCs w:val="18"/>
          <w:lang w:val="en-US" w:eastAsia="ja-JP"/>
        </w:rPr>
        <w:t xml:space="preserve">the </w:t>
      </w:r>
      <w:r w:rsidR="00D632D4" w:rsidRPr="00004A23">
        <w:rPr>
          <w:rFonts w:cs="Arial"/>
          <w:noProof/>
          <w:szCs w:val="18"/>
          <w:lang w:val="en-US" w:eastAsia="ja-JP"/>
        </w:rPr>
        <w:t>Cell Capacity Class Value</w:t>
      </w:r>
      <w:r w:rsidR="00D632D4" w:rsidRPr="00004A23">
        <w:rPr>
          <w:noProof/>
          <w:lang w:val="en-US"/>
        </w:rPr>
        <w:t xml:space="preserve"> </w:t>
      </w:r>
      <w:r w:rsidR="00EB4B98">
        <w:rPr>
          <w:noProof/>
          <w:lang w:val="en-US"/>
        </w:rPr>
        <w:fldChar w:fldCharType="begin"/>
      </w:r>
      <w:r w:rsidR="00EB4B98">
        <w:rPr>
          <w:noProof/>
          <w:lang w:val="en-US"/>
        </w:rPr>
        <w:instrText xml:space="preserve"> REF _Ref7008066 \r \h </w:instrText>
      </w:r>
      <w:r w:rsidR="00EB4B98">
        <w:rPr>
          <w:noProof/>
          <w:lang w:val="en-US"/>
        </w:rPr>
      </w:r>
      <w:r w:rsidR="00EB4B98">
        <w:rPr>
          <w:noProof/>
          <w:lang w:val="en-US"/>
        </w:rPr>
        <w:fldChar w:fldCharType="separate"/>
      </w:r>
      <w:r w:rsidR="00EB4B98">
        <w:rPr>
          <w:noProof/>
          <w:lang w:val="en-US"/>
        </w:rPr>
        <w:t>[3]</w:t>
      </w:r>
      <w:r w:rsidR="00EB4B98">
        <w:rPr>
          <w:noProof/>
          <w:lang w:val="en-US"/>
        </w:rPr>
        <w:fldChar w:fldCharType="end"/>
      </w:r>
      <w:r w:rsidR="00C6225C" w:rsidRPr="00C6225C">
        <w:rPr>
          <w:noProof/>
          <w:lang w:val="en-US"/>
        </w:rPr>
        <w:t xml:space="preserve">. </w:t>
      </w:r>
      <w:r w:rsidR="00593487">
        <w:rPr>
          <w:noProof/>
          <w:lang w:val="en-US"/>
        </w:rPr>
        <w:t xml:space="preserve">In </w:t>
      </w:r>
      <w:r w:rsidR="00C6225C" w:rsidRPr="00C6225C">
        <w:rPr>
          <w:noProof/>
          <w:lang w:val="en-US"/>
        </w:rPr>
        <w:t xml:space="preserve">TS 36.423 </w:t>
      </w:r>
      <w:r w:rsidR="00EB4B98">
        <w:rPr>
          <w:noProof/>
          <w:lang w:val="en-US"/>
        </w:rPr>
        <w:fldChar w:fldCharType="begin"/>
      </w:r>
      <w:r w:rsidR="00EB4B98">
        <w:rPr>
          <w:noProof/>
          <w:lang w:val="en-US"/>
        </w:rPr>
        <w:instrText xml:space="preserve"> REF _Ref4155863 \r \h </w:instrText>
      </w:r>
      <w:r w:rsidR="00EB4B98">
        <w:rPr>
          <w:noProof/>
          <w:lang w:val="en-US"/>
        </w:rPr>
      </w:r>
      <w:r w:rsidR="00EB4B98">
        <w:rPr>
          <w:noProof/>
          <w:lang w:val="en-US"/>
        </w:rPr>
        <w:fldChar w:fldCharType="separate"/>
      </w:r>
      <w:r w:rsidR="00EB4B98">
        <w:rPr>
          <w:noProof/>
          <w:lang w:val="en-US"/>
        </w:rPr>
        <w:t>[4]</w:t>
      </w:r>
      <w:r w:rsidR="00EB4B98">
        <w:rPr>
          <w:noProof/>
          <w:lang w:val="en-US"/>
        </w:rPr>
        <w:fldChar w:fldCharType="end"/>
      </w:r>
      <w:r w:rsidR="00593487">
        <w:rPr>
          <w:noProof/>
          <w:lang w:val="en-US"/>
        </w:rPr>
        <w:t>, the</w:t>
      </w:r>
      <w:r w:rsidR="00C6225C" w:rsidRPr="00C6225C">
        <w:rPr>
          <w:noProof/>
          <w:lang w:val="en-US"/>
        </w:rPr>
        <w:t xml:space="preserve"> cell capacity class value </w:t>
      </w:r>
      <w:r w:rsidR="00593487">
        <w:rPr>
          <w:noProof/>
          <w:lang w:val="en-US"/>
        </w:rPr>
        <w:t>is</w:t>
      </w:r>
      <w:r w:rsidR="00C6225C" w:rsidRPr="00C6225C">
        <w:rPr>
          <w:noProof/>
          <w:lang w:val="en-US"/>
        </w:rPr>
        <w:t xml:space="preserve"> </w:t>
      </w:r>
      <w:r w:rsidR="00593487">
        <w:rPr>
          <w:noProof/>
          <w:lang w:val="en-US"/>
        </w:rPr>
        <w:t xml:space="preserve">an </w:t>
      </w:r>
      <w:r w:rsidR="00C6225C" w:rsidRPr="00C6225C">
        <w:rPr>
          <w:noProof/>
          <w:lang w:val="en-US"/>
        </w:rPr>
        <w:t>optional parameter in case of intra-LTE load balancing. If cell capacity class value is not present, th</w:t>
      </w:r>
      <w:r w:rsidR="001B207A">
        <w:rPr>
          <w:noProof/>
          <w:lang w:val="en-US"/>
        </w:rPr>
        <w:t>e</w:t>
      </w:r>
      <w:r w:rsidR="00C6225C" w:rsidRPr="00C6225C">
        <w:rPr>
          <w:noProof/>
          <w:lang w:val="en-US"/>
        </w:rPr>
        <w:t xml:space="preserve">n </w:t>
      </w:r>
      <w:r w:rsidR="00CC132B" w:rsidRPr="00C6225C">
        <w:rPr>
          <w:noProof/>
          <w:lang w:val="en-US"/>
        </w:rPr>
        <w:t xml:space="preserve">TS 36.423 </w:t>
      </w:r>
      <w:r w:rsidR="00EB4B98">
        <w:rPr>
          <w:noProof/>
          <w:lang w:val="en-US"/>
        </w:rPr>
        <w:fldChar w:fldCharType="begin"/>
      </w:r>
      <w:r w:rsidR="00EB4B98">
        <w:rPr>
          <w:noProof/>
          <w:lang w:val="en-US"/>
        </w:rPr>
        <w:instrText xml:space="preserve"> REF _Ref4155863 \r \h </w:instrText>
      </w:r>
      <w:r w:rsidR="00EB4B98">
        <w:rPr>
          <w:noProof/>
          <w:lang w:val="en-US"/>
        </w:rPr>
      </w:r>
      <w:r w:rsidR="00EB4B98">
        <w:rPr>
          <w:noProof/>
          <w:lang w:val="en-US"/>
        </w:rPr>
        <w:fldChar w:fldCharType="separate"/>
      </w:r>
      <w:r w:rsidR="00EB4B98">
        <w:rPr>
          <w:noProof/>
          <w:lang w:val="en-US"/>
        </w:rPr>
        <w:t>[4]</w:t>
      </w:r>
      <w:r w:rsidR="00EB4B98">
        <w:rPr>
          <w:noProof/>
          <w:lang w:val="en-US"/>
        </w:rPr>
        <w:fldChar w:fldCharType="end"/>
      </w:r>
      <w:r w:rsidR="00CC132B">
        <w:rPr>
          <w:noProof/>
          <w:lang w:val="en-US"/>
        </w:rPr>
        <w:t xml:space="preserve"> </w:t>
      </w:r>
      <w:r w:rsidR="00C6225C" w:rsidRPr="00C6225C">
        <w:rPr>
          <w:noProof/>
          <w:lang w:val="en-US"/>
        </w:rPr>
        <w:t>assumes that bandwidth should be used instead to assess the capacity</w:t>
      </w:r>
      <w:r w:rsidR="00113ABC" w:rsidRPr="00C6225C">
        <w:rPr>
          <w:noProof/>
          <w:lang w:val="en-US"/>
        </w:rPr>
        <w:t>.</w:t>
      </w:r>
      <w:r w:rsidR="00105CC7">
        <w:rPr>
          <w:noProof/>
          <w:lang w:val="en-US"/>
        </w:rPr>
        <w:br/>
      </w:r>
    </w:p>
    <w:p w14:paraId="7151C8B7" w14:textId="2E2DE455" w:rsidR="00765B8A" w:rsidRPr="00004A23" w:rsidRDefault="00C13ED5" w:rsidP="00626244">
      <w:pPr>
        <w:pStyle w:val="ListParagraph"/>
        <w:numPr>
          <w:ilvl w:val="0"/>
          <w:numId w:val="32"/>
        </w:numPr>
        <w:jc w:val="both"/>
        <w:rPr>
          <w:lang w:val="en-US"/>
        </w:rPr>
      </w:pPr>
      <w:r w:rsidRPr="00626244">
        <w:rPr>
          <w:noProof/>
          <w:lang w:val="en-US"/>
        </w:rPr>
        <w:t>The</w:t>
      </w:r>
      <w:r w:rsidRPr="00626244">
        <w:rPr>
          <w:i/>
          <w:iCs/>
          <w:lang w:val="en-US"/>
        </w:rPr>
        <w:t xml:space="preserve"> Capacity Value</w:t>
      </w:r>
      <w:r w:rsidRPr="00626244">
        <w:rPr>
          <w:lang w:val="en-US"/>
        </w:rPr>
        <w:t xml:space="preserve"> </w:t>
      </w:r>
      <w:r w:rsidR="00C0416D" w:rsidRPr="00626244">
        <w:rPr>
          <w:lang w:val="en-US"/>
        </w:rPr>
        <w:t>(CV)</w:t>
      </w:r>
      <w:r w:rsidRPr="00626244">
        <w:rPr>
          <w:lang w:val="en-US"/>
        </w:rPr>
        <w:t xml:space="preserve"> indicates the amount of resources that are available relative to the total E-UTRAN resources. The capacity value should be measured and reported so that the minimum E-UTRAN resource usage of existing services is reserved according to implementation. The</w:t>
      </w:r>
      <w:r w:rsidRPr="00626244">
        <w:rPr>
          <w:i/>
          <w:iCs/>
          <w:lang w:val="en-US"/>
        </w:rPr>
        <w:t xml:space="preserve"> Capacity Value</w:t>
      </w:r>
      <w:r w:rsidRPr="00626244">
        <w:rPr>
          <w:lang w:val="en-US"/>
        </w:rPr>
        <w:t xml:space="preserve"> IE </w:t>
      </w:r>
      <w:r w:rsidR="0012729E" w:rsidRPr="00626244">
        <w:rPr>
          <w:lang w:val="en-US"/>
        </w:rPr>
        <w:t>ranges between</w:t>
      </w:r>
      <w:r w:rsidR="0012729E" w:rsidRPr="00626244">
        <w:rPr>
          <w:noProof/>
          <w:lang w:val="en-US" w:eastAsia="ja-JP"/>
        </w:rPr>
        <w:t xml:space="preserve"> 0, indicating no available capacity, and 100 which indicates maximum available capacity . Capacity Value should be measured on a linear scale.</w:t>
      </w:r>
    </w:p>
    <w:p w14:paraId="59AF8D6D" w14:textId="77777777" w:rsidR="00963C18" w:rsidRDefault="00963C18" w:rsidP="000E6D46">
      <w:pPr>
        <w:rPr>
          <w:noProof/>
          <w:lang w:val="en-US"/>
        </w:rPr>
      </w:pPr>
    </w:p>
    <w:p w14:paraId="7753F6B5" w14:textId="73C6E945" w:rsidR="007F77F0" w:rsidRDefault="00A728E3" w:rsidP="002D3AC9">
      <w:pPr>
        <w:jc w:val="both"/>
        <w:rPr>
          <w:noProof/>
          <w:lang w:val="en-US"/>
        </w:rPr>
      </w:pPr>
      <w:r>
        <w:rPr>
          <w:noProof/>
          <w:lang w:val="en-US"/>
        </w:rPr>
        <w:t>The</w:t>
      </w:r>
      <w:r w:rsidR="005D794D">
        <w:rPr>
          <w:noProof/>
          <w:lang w:val="en-US"/>
        </w:rPr>
        <w:t xml:space="preserve"> cell-specific</w:t>
      </w:r>
      <w:r>
        <w:rPr>
          <w:noProof/>
          <w:lang w:val="en-US"/>
        </w:rPr>
        <w:t xml:space="preserve"> CAC as defined in LTE</w:t>
      </w:r>
      <w:r w:rsidR="00E722D1">
        <w:rPr>
          <w:noProof/>
          <w:lang w:val="en-US"/>
        </w:rPr>
        <w:t>, however,</w:t>
      </w:r>
      <w:r>
        <w:rPr>
          <w:noProof/>
          <w:lang w:val="en-US"/>
        </w:rPr>
        <w:t xml:space="preserve"> </w:t>
      </w:r>
      <w:r w:rsidR="007F77F0">
        <w:rPr>
          <w:noProof/>
          <w:lang w:val="en-US"/>
        </w:rPr>
        <w:t xml:space="preserve">cannot straightforwardly </w:t>
      </w:r>
      <w:r w:rsidR="00CA1F13">
        <w:rPr>
          <w:noProof/>
          <w:lang w:val="en-US"/>
        </w:rPr>
        <w:t xml:space="preserve">be </w:t>
      </w:r>
      <w:r w:rsidR="007F77F0">
        <w:rPr>
          <w:noProof/>
          <w:lang w:val="en-US"/>
        </w:rPr>
        <w:t>applied to NR for two</w:t>
      </w:r>
      <w:r w:rsidR="005D794D">
        <w:rPr>
          <w:noProof/>
          <w:lang w:val="en-US"/>
        </w:rPr>
        <w:t xml:space="preserve"> </w:t>
      </w:r>
      <w:r w:rsidR="007F77F0">
        <w:rPr>
          <w:noProof/>
          <w:lang w:val="en-US"/>
        </w:rPr>
        <w:t>reasons:</w:t>
      </w:r>
    </w:p>
    <w:p w14:paraId="1BD29A9C" w14:textId="652C97DC" w:rsidR="00A92B81" w:rsidRDefault="007F77F0" w:rsidP="007F77F0">
      <w:pPr>
        <w:pStyle w:val="ListParagraph"/>
        <w:numPr>
          <w:ilvl w:val="0"/>
          <w:numId w:val="32"/>
        </w:numPr>
        <w:jc w:val="both"/>
        <w:rPr>
          <w:noProof/>
          <w:lang w:val="en-US"/>
        </w:rPr>
      </w:pPr>
      <w:r>
        <w:rPr>
          <w:noProof/>
          <w:lang w:val="en-US"/>
        </w:rPr>
        <w:t xml:space="preserve">It </w:t>
      </w:r>
      <w:r w:rsidR="00733494">
        <w:rPr>
          <w:noProof/>
          <w:lang w:val="en-US"/>
        </w:rPr>
        <w:t>does not correctly represent</w:t>
      </w:r>
      <w:r w:rsidR="00A728E3" w:rsidRPr="007F77F0">
        <w:rPr>
          <w:noProof/>
          <w:lang w:val="en-US"/>
        </w:rPr>
        <w:t xml:space="preserve"> </w:t>
      </w:r>
      <w:r w:rsidRPr="007F77F0">
        <w:rPr>
          <w:noProof/>
          <w:lang w:val="en-US"/>
        </w:rPr>
        <w:t xml:space="preserve">the </w:t>
      </w:r>
      <w:r>
        <w:rPr>
          <w:noProof/>
          <w:lang w:val="en-US"/>
        </w:rPr>
        <w:t>available capacity</w:t>
      </w:r>
      <w:r w:rsidR="0065056A">
        <w:rPr>
          <w:noProof/>
          <w:lang w:val="en-US"/>
        </w:rPr>
        <w:t xml:space="preserve"> </w:t>
      </w:r>
      <w:r w:rsidR="00C512C2">
        <w:rPr>
          <w:noProof/>
          <w:lang w:val="en-US"/>
        </w:rPr>
        <w:t>of a cell with</w:t>
      </w:r>
      <w:r w:rsidR="0065056A">
        <w:rPr>
          <w:noProof/>
          <w:lang w:val="en-US"/>
        </w:rPr>
        <w:t xml:space="preserve"> MIMO transmission </w:t>
      </w:r>
      <w:r w:rsidR="00C512C2">
        <w:rPr>
          <w:noProof/>
          <w:lang w:val="en-US"/>
        </w:rPr>
        <w:t>capabilities</w:t>
      </w:r>
      <w:r w:rsidR="0065056A">
        <w:rPr>
          <w:noProof/>
          <w:lang w:val="en-US"/>
        </w:rPr>
        <w:t>;</w:t>
      </w:r>
    </w:p>
    <w:p w14:paraId="64F0AE9F" w14:textId="75A4B480" w:rsidR="0065056A" w:rsidRDefault="0065056A" w:rsidP="007F77F0">
      <w:pPr>
        <w:pStyle w:val="ListParagraph"/>
        <w:numPr>
          <w:ilvl w:val="0"/>
          <w:numId w:val="32"/>
        </w:numPr>
        <w:jc w:val="both"/>
        <w:rPr>
          <w:noProof/>
          <w:lang w:val="en-US"/>
        </w:rPr>
      </w:pPr>
      <w:r>
        <w:rPr>
          <w:noProof/>
          <w:lang w:val="en-US"/>
        </w:rPr>
        <w:t>It does n</w:t>
      </w:r>
      <w:r w:rsidR="00693C54">
        <w:rPr>
          <w:noProof/>
          <w:lang w:val="en-US"/>
        </w:rPr>
        <w:t>o</w:t>
      </w:r>
      <w:r>
        <w:rPr>
          <w:noProof/>
          <w:lang w:val="en-US"/>
        </w:rPr>
        <w:t xml:space="preserve">t correctly </w:t>
      </w:r>
      <w:r w:rsidR="00C512C2">
        <w:rPr>
          <w:noProof/>
          <w:lang w:val="en-US"/>
        </w:rPr>
        <w:t xml:space="preserve">represent how the cell available capacity is </w:t>
      </w:r>
      <w:r w:rsidR="009F1EC2">
        <w:rPr>
          <w:noProof/>
          <w:lang w:val="en-US"/>
        </w:rPr>
        <w:t xml:space="preserve">spatially </w:t>
      </w:r>
      <w:r w:rsidR="00C512C2">
        <w:rPr>
          <w:noProof/>
          <w:lang w:val="en-US"/>
        </w:rPr>
        <w:t>distributed</w:t>
      </w:r>
      <w:r w:rsidR="009F1EC2">
        <w:rPr>
          <w:noProof/>
          <w:lang w:val="en-US"/>
        </w:rPr>
        <w:t>.</w:t>
      </w:r>
    </w:p>
    <w:p w14:paraId="1B91A63E" w14:textId="21BE20B6" w:rsidR="00F61709" w:rsidRDefault="00693C54" w:rsidP="009F1EC2">
      <w:pPr>
        <w:jc w:val="both"/>
        <w:rPr>
          <w:noProof/>
          <w:lang w:val="en-US"/>
        </w:rPr>
      </w:pPr>
      <w:r>
        <w:rPr>
          <w:noProof/>
          <w:lang w:val="en-US"/>
        </w:rPr>
        <w:t xml:space="preserve">This is </w:t>
      </w:r>
      <w:r w:rsidR="000E65B9">
        <w:rPr>
          <w:noProof/>
          <w:lang w:val="en-US"/>
        </w:rPr>
        <w:t xml:space="preserve">illustrated in the example in </w:t>
      </w:r>
      <w:r w:rsidR="000E65B9">
        <w:rPr>
          <w:noProof/>
          <w:lang w:val="en-US"/>
        </w:rPr>
        <w:fldChar w:fldCharType="begin"/>
      </w:r>
      <w:r w:rsidR="000E65B9">
        <w:rPr>
          <w:noProof/>
          <w:lang w:val="en-US"/>
        </w:rPr>
        <w:instrText xml:space="preserve"> REF _Ref6990924 \h </w:instrText>
      </w:r>
      <w:r w:rsidR="000E65B9">
        <w:rPr>
          <w:noProof/>
          <w:lang w:val="en-US"/>
        </w:rPr>
      </w:r>
      <w:r w:rsidR="000E65B9">
        <w:rPr>
          <w:noProof/>
          <w:lang w:val="en-US"/>
        </w:rPr>
        <w:fldChar w:fldCharType="separate"/>
      </w:r>
      <w:r w:rsidR="000E65B9" w:rsidRPr="00693C54">
        <w:rPr>
          <w:lang w:val="en-US"/>
        </w:rPr>
        <w:t xml:space="preserve">Figure </w:t>
      </w:r>
      <w:r w:rsidR="000E65B9" w:rsidRPr="00693C54">
        <w:rPr>
          <w:noProof/>
          <w:lang w:val="en-US"/>
        </w:rPr>
        <w:t>2</w:t>
      </w:r>
      <w:r w:rsidR="000E65B9">
        <w:rPr>
          <w:noProof/>
          <w:lang w:val="en-US"/>
        </w:rPr>
        <w:fldChar w:fldCharType="end"/>
      </w:r>
      <w:r w:rsidR="004A6279">
        <w:rPr>
          <w:noProof/>
          <w:lang w:val="en-US"/>
        </w:rPr>
        <w:t>. For illu</w:t>
      </w:r>
      <w:r w:rsidR="00DF7589">
        <w:rPr>
          <w:noProof/>
          <w:lang w:val="en-US"/>
        </w:rPr>
        <w:t>s</w:t>
      </w:r>
      <w:r w:rsidR="004A6279">
        <w:rPr>
          <w:noProof/>
          <w:lang w:val="en-US"/>
        </w:rPr>
        <w:t>tration purposes, we consider a cell with CCCV=10 and</w:t>
      </w:r>
      <w:r w:rsidR="007633B9">
        <w:rPr>
          <w:noProof/>
          <w:lang w:val="en-US"/>
        </w:rPr>
        <w:t xml:space="preserve"> 4 SSSB beams.</w:t>
      </w:r>
      <w:r w:rsidR="00CD511A">
        <w:rPr>
          <w:noProof/>
          <w:lang w:val="en-US"/>
        </w:rPr>
        <w:t xml:space="preserve"> </w:t>
      </w:r>
      <w:r w:rsidR="00926CF1">
        <w:rPr>
          <w:noProof/>
          <w:lang w:val="en-US"/>
        </w:rPr>
        <w:fldChar w:fldCharType="begin"/>
      </w:r>
      <w:r w:rsidR="00926CF1">
        <w:rPr>
          <w:noProof/>
          <w:lang w:val="en-US"/>
        </w:rPr>
        <w:instrText xml:space="preserve"> REF _Ref6990924 \h </w:instrText>
      </w:r>
      <w:r w:rsidR="00926CF1">
        <w:rPr>
          <w:noProof/>
          <w:lang w:val="en-US"/>
        </w:rPr>
      </w:r>
      <w:r w:rsidR="00926CF1">
        <w:rPr>
          <w:noProof/>
          <w:lang w:val="en-US"/>
        </w:rPr>
        <w:fldChar w:fldCharType="separate"/>
      </w:r>
      <w:r w:rsidR="00926CF1" w:rsidRPr="00693C54">
        <w:rPr>
          <w:lang w:val="en-US"/>
        </w:rPr>
        <w:t xml:space="preserve">Figure </w:t>
      </w:r>
      <w:r w:rsidR="00926CF1" w:rsidRPr="00693C54">
        <w:rPr>
          <w:noProof/>
          <w:lang w:val="en-US"/>
        </w:rPr>
        <w:t>2</w:t>
      </w:r>
      <w:r w:rsidR="00926CF1">
        <w:rPr>
          <w:noProof/>
          <w:lang w:val="en-US"/>
        </w:rPr>
        <w:fldChar w:fldCharType="end"/>
      </w:r>
      <w:r w:rsidR="00926CF1">
        <w:rPr>
          <w:noProof/>
          <w:lang w:val="en-US"/>
        </w:rPr>
        <w:t xml:space="preserve">(a) shows how resources are used </w:t>
      </w:r>
      <w:r w:rsidR="00985D70">
        <w:rPr>
          <w:noProof/>
          <w:lang w:val="en-US"/>
        </w:rPr>
        <w:t>to serve UEs under the coverage area of each of the SSB beams, whil</w:t>
      </w:r>
      <w:r w:rsidR="00943CCE">
        <w:rPr>
          <w:noProof/>
          <w:lang w:val="en-US"/>
        </w:rPr>
        <w:t xml:space="preserve">e </w:t>
      </w:r>
      <w:r w:rsidR="00943CCE">
        <w:rPr>
          <w:noProof/>
          <w:lang w:val="en-US"/>
        </w:rPr>
        <w:fldChar w:fldCharType="begin"/>
      </w:r>
      <w:r w:rsidR="00943CCE">
        <w:rPr>
          <w:noProof/>
          <w:lang w:val="en-US"/>
        </w:rPr>
        <w:instrText xml:space="preserve"> REF _Ref6990924 \h </w:instrText>
      </w:r>
      <w:r w:rsidR="00943CCE">
        <w:rPr>
          <w:noProof/>
          <w:lang w:val="en-US"/>
        </w:rPr>
      </w:r>
      <w:r w:rsidR="00943CCE">
        <w:rPr>
          <w:noProof/>
          <w:lang w:val="en-US"/>
        </w:rPr>
        <w:fldChar w:fldCharType="separate"/>
      </w:r>
      <w:r w:rsidR="00943CCE" w:rsidRPr="00693C54">
        <w:rPr>
          <w:lang w:val="en-US"/>
        </w:rPr>
        <w:t xml:space="preserve">Figure </w:t>
      </w:r>
      <w:r w:rsidR="00943CCE" w:rsidRPr="00693C54">
        <w:rPr>
          <w:noProof/>
          <w:lang w:val="en-US"/>
        </w:rPr>
        <w:t>2</w:t>
      </w:r>
      <w:r w:rsidR="00943CCE">
        <w:rPr>
          <w:noProof/>
          <w:lang w:val="en-US"/>
        </w:rPr>
        <w:fldChar w:fldCharType="end"/>
      </w:r>
      <w:r w:rsidR="00943CCE">
        <w:rPr>
          <w:noProof/>
          <w:lang w:val="en-US"/>
        </w:rPr>
        <w:t>(b) shows how resources are utilized from the cell perspective.</w:t>
      </w:r>
      <w:r w:rsidR="0070653F">
        <w:rPr>
          <w:noProof/>
          <w:lang w:val="en-US"/>
        </w:rPr>
        <w:t xml:space="preserve"> </w:t>
      </w:r>
      <w:r w:rsidR="006932B9">
        <w:rPr>
          <w:noProof/>
          <w:lang w:val="en-US"/>
        </w:rPr>
        <w:t>E</w:t>
      </w:r>
      <w:r w:rsidR="00693BFA">
        <w:rPr>
          <w:noProof/>
          <w:lang w:val="en-US"/>
        </w:rPr>
        <w:t>ach of the SSB beams is lightly loaded</w:t>
      </w:r>
      <w:r w:rsidR="00EC1E07">
        <w:rPr>
          <w:noProof/>
          <w:lang w:val="en-US"/>
        </w:rPr>
        <w:t xml:space="preserve">, </w:t>
      </w:r>
      <w:r w:rsidR="00AD2BD5">
        <w:rPr>
          <w:noProof/>
          <w:lang w:val="en-US"/>
        </w:rPr>
        <w:t>with the coverage area of SSB1 being th</w:t>
      </w:r>
      <w:r w:rsidR="009C676B">
        <w:rPr>
          <w:noProof/>
          <w:lang w:val="en-US"/>
        </w:rPr>
        <w:t xml:space="preserve">e most </w:t>
      </w:r>
      <w:r w:rsidR="00E25A08">
        <w:rPr>
          <w:noProof/>
          <w:lang w:val="en-US"/>
        </w:rPr>
        <w:t>used, yet i</w:t>
      </w:r>
      <w:r w:rsidR="003278FD">
        <w:rPr>
          <w:noProof/>
          <w:lang w:val="en-US"/>
        </w:rPr>
        <w:t>t uses</w:t>
      </w:r>
      <w:r w:rsidR="004F561C">
        <w:rPr>
          <w:noProof/>
          <w:lang w:val="en-US"/>
        </w:rPr>
        <w:t xml:space="preserve"> only 40% of the cell resources</w:t>
      </w:r>
      <w:r w:rsidR="006932B9">
        <w:rPr>
          <w:noProof/>
          <w:lang w:val="en-US"/>
        </w:rPr>
        <w:t>.</w:t>
      </w:r>
      <w:r w:rsidR="004F561C">
        <w:rPr>
          <w:noProof/>
          <w:lang w:val="en-US"/>
        </w:rPr>
        <w:t xml:space="preserve"> </w:t>
      </w:r>
      <w:r w:rsidR="00F61709">
        <w:rPr>
          <w:noProof/>
          <w:lang w:val="en-US"/>
        </w:rPr>
        <w:t>Additional traffic could therefore be accepted within the coverage area of all SSB beams</w:t>
      </w:r>
      <w:r w:rsidR="00E16237">
        <w:rPr>
          <w:noProof/>
          <w:lang w:val="en-US"/>
        </w:rPr>
        <w:t>.</w:t>
      </w:r>
    </w:p>
    <w:p w14:paraId="22DB3D3E" w14:textId="0FD8BE62" w:rsidR="009F1EC2" w:rsidRDefault="00E25A08" w:rsidP="009F1EC2">
      <w:pPr>
        <w:jc w:val="both"/>
        <w:rPr>
          <w:noProof/>
          <w:lang w:val="en-US"/>
        </w:rPr>
      </w:pPr>
      <w:r>
        <w:rPr>
          <w:noProof/>
          <w:lang w:val="en-US"/>
        </w:rPr>
        <w:t>F</w:t>
      </w:r>
      <w:r w:rsidR="00332A07">
        <w:rPr>
          <w:noProof/>
          <w:lang w:val="en-US"/>
        </w:rPr>
        <w:t>rom a cell-specific perspective</w:t>
      </w:r>
      <w:r>
        <w:rPr>
          <w:noProof/>
          <w:lang w:val="en-US"/>
        </w:rPr>
        <w:t>, however,</w:t>
      </w:r>
      <w:r w:rsidR="00332A07">
        <w:rPr>
          <w:noProof/>
          <w:lang w:val="en-US"/>
        </w:rPr>
        <w:t xml:space="preserve"> only 30% of the resources would </w:t>
      </w:r>
      <w:r w:rsidR="00AD2BD5">
        <w:rPr>
          <w:noProof/>
          <w:lang w:val="en-US"/>
        </w:rPr>
        <w:t>appear</w:t>
      </w:r>
      <w:r w:rsidR="00332A07">
        <w:rPr>
          <w:noProof/>
          <w:lang w:val="en-US"/>
        </w:rPr>
        <w:t xml:space="preserve"> available</w:t>
      </w:r>
      <w:r w:rsidR="00AD2BD5">
        <w:rPr>
          <w:noProof/>
          <w:lang w:val="en-US"/>
        </w:rPr>
        <w:t xml:space="preserve"> resulting in a low CAC. </w:t>
      </w:r>
    </w:p>
    <w:p w14:paraId="49A369C8" w14:textId="77777777" w:rsidR="00CA1F13" w:rsidRPr="00CA1F13" w:rsidRDefault="00CA1F13" w:rsidP="000E6D46">
      <w:pPr>
        <w:pStyle w:val="ListParagraph"/>
        <w:numPr>
          <w:ilvl w:val="0"/>
          <w:numId w:val="39"/>
        </w:numPr>
        <w:ind w:left="1701" w:hanging="1701"/>
        <w:jc w:val="both"/>
        <w:rPr>
          <w:b/>
          <w:noProof/>
          <w:lang w:val="en-US"/>
        </w:rPr>
      </w:pPr>
      <w:r w:rsidRPr="00CA1F13">
        <w:rPr>
          <w:b/>
          <w:noProof/>
          <w:lang w:val="en-US"/>
        </w:rPr>
        <w:t xml:space="preserve">The LTE cell-specific Composite Available Capacity cannot correctly represent the available capacity of a NR cell. </w:t>
      </w:r>
    </w:p>
    <w:p w14:paraId="090C6376" w14:textId="77777777" w:rsidR="00CA1F13" w:rsidRDefault="00CA1F13" w:rsidP="009F1EC2">
      <w:pPr>
        <w:jc w:val="both"/>
        <w:rPr>
          <w:noProof/>
          <w:lang w:val="en-US"/>
        </w:rPr>
      </w:pPr>
    </w:p>
    <w:p w14:paraId="72367A69" w14:textId="2758B1DE" w:rsidR="00693C54" w:rsidRPr="00410306" w:rsidRDefault="00227DA4" w:rsidP="00693C54">
      <w:pPr>
        <w:keepNext/>
        <w:jc w:val="center"/>
        <w:rPr>
          <w:lang w:val="en-US"/>
        </w:rPr>
      </w:pPr>
      <w:r>
        <w:rPr>
          <w:noProof/>
          <w:lang w:val="en-US"/>
        </w:rPr>
        <w:lastRenderedPageBreak/>
        <w:drawing>
          <wp:inline distT="0" distB="0" distL="0" distR="0" wp14:anchorId="793214E0" wp14:editId="05FA4157">
            <wp:extent cx="6156904" cy="164058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30534" cy="1660205"/>
                    </a:xfrm>
                    <a:prstGeom prst="rect">
                      <a:avLst/>
                    </a:prstGeom>
                    <a:noFill/>
                  </pic:spPr>
                </pic:pic>
              </a:graphicData>
            </a:graphic>
          </wp:inline>
        </w:drawing>
      </w:r>
    </w:p>
    <w:p w14:paraId="50A97062" w14:textId="6625D3FA" w:rsidR="009F1EC2" w:rsidRDefault="00693C54" w:rsidP="00693C54">
      <w:pPr>
        <w:pStyle w:val="Caption"/>
        <w:rPr>
          <w:noProof/>
          <w:lang w:val="en-US"/>
        </w:rPr>
      </w:pPr>
      <w:bookmarkStart w:id="5" w:name="_Ref6990924"/>
      <w:r w:rsidRPr="00693C54">
        <w:rPr>
          <w:lang w:val="en-US"/>
        </w:rPr>
        <w:t xml:space="preserve">Figure </w:t>
      </w:r>
      <w:r>
        <w:fldChar w:fldCharType="begin"/>
      </w:r>
      <w:r w:rsidRPr="00693C54">
        <w:rPr>
          <w:lang w:val="en-US"/>
        </w:rPr>
        <w:instrText xml:space="preserve"> SEQ Figure \* ARABIC </w:instrText>
      </w:r>
      <w:r>
        <w:fldChar w:fldCharType="separate"/>
      </w:r>
      <w:r w:rsidR="0067617F">
        <w:rPr>
          <w:noProof/>
          <w:lang w:val="en-US"/>
        </w:rPr>
        <w:t>2</w:t>
      </w:r>
      <w:r>
        <w:fldChar w:fldCharType="end"/>
      </w:r>
      <w:bookmarkEnd w:id="5"/>
      <w:r w:rsidRPr="00693C54">
        <w:rPr>
          <w:lang w:val="en-US"/>
        </w:rPr>
        <w:t>: Example of LTE cell-specific CAC</w:t>
      </w:r>
      <w:r w:rsidRPr="00693C54">
        <w:rPr>
          <w:noProof/>
          <w:lang w:val="en-US"/>
        </w:rPr>
        <w:t xml:space="preserve"> used for NR</w:t>
      </w:r>
      <w:r w:rsidR="00D31C3F">
        <w:rPr>
          <w:noProof/>
          <w:lang w:val="en-US"/>
        </w:rPr>
        <w:t xml:space="preserve"> assuming a cell with CCCV = 10</w:t>
      </w:r>
      <w:r w:rsidR="00E07925">
        <w:rPr>
          <w:noProof/>
          <w:lang w:val="en-US"/>
        </w:rPr>
        <w:t xml:space="preserve"> and 4 SSB beams</w:t>
      </w:r>
      <w:r w:rsidRPr="00693C54">
        <w:rPr>
          <w:noProof/>
          <w:lang w:val="en-US"/>
        </w:rPr>
        <w:t>.</w:t>
      </w:r>
    </w:p>
    <w:p w14:paraId="35A29A15" w14:textId="6444318F" w:rsidR="00A92B81" w:rsidRDefault="00A92B81" w:rsidP="00A92B81">
      <w:pPr>
        <w:pStyle w:val="Heading3"/>
      </w:pPr>
      <w:r>
        <w:t>Composite available capacity per SSB</w:t>
      </w:r>
      <w:r w:rsidR="00E73215">
        <w:t xml:space="preserve"> coverage area</w:t>
      </w:r>
    </w:p>
    <w:p w14:paraId="76AE2761" w14:textId="14E5F183" w:rsidR="00EF318B" w:rsidRDefault="00D85EDA" w:rsidP="002D3AC9">
      <w:pPr>
        <w:jc w:val="both"/>
        <w:rPr>
          <w:noProof/>
          <w:lang w:val="en-US"/>
        </w:rPr>
      </w:pPr>
      <w:r>
        <w:rPr>
          <w:noProof/>
          <w:lang w:val="en-US"/>
        </w:rPr>
        <w:t xml:space="preserve">One solution to this issue is to extend the </w:t>
      </w:r>
      <w:r w:rsidR="00DC7CDB">
        <w:rPr>
          <w:noProof/>
          <w:lang w:val="en-US"/>
        </w:rPr>
        <w:t xml:space="preserve">definition of the composite available capacity </w:t>
      </w:r>
      <w:r>
        <w:rPr>
          <w:noProof/>
          <w:lang w:val="en-US"/>
        </w:rPr>
        <w:t>to</w:t>
      </w:r>
      <w:r w:rsidR="00357219">
        <w:rPr>
          <w:noProof/>
          <w:lang w:val="en-US"/>
        </w:rPr>
        <w:t xml:space="preserve"> the coverage area of </w:t>
      </w:r>
      <w:r w:rsidR="00DC7CDB">
        <w:rPr>
          <w:noProof/>
          <w:lang w:val="en-US"/>
        </w:rPr>
        <w:t xml:space="preserve">SSB </w:t>
      </w:r>
      <w:r w:rsidR="00357219">
        <w:rPr>
          <w:noProof/>
          <w:lang w:val="en-US"/>
        </w:rPr>
        <w:t xml:space="preserve">beams </w:t>
      </w:r>
      <w:r w:rsidR="001D0C42">
        <w:rPr>
          <w:noProof/>
          <w:lang w:val="en-US"/>
        </w:rPr>
        <w:t>as</w:t>
      </w:r>
      <w:r w:rsidR="00175BDF">
        <w:rPr>
          <w:noProof/>
          <w:lang w:val="en-US"/>
        </w:rPr>
        <w:t xml:space="preserve"> </w:t>
      </w:r>
    </w:p>
    <w:p w14:paraId="41D7E831" w14:textId="35A6B80B" w:rsidR="00B04CCE" w:rsidRPr="007B56DA" w:rsidRDefault="00175BDF" w:rsidP="007B56DA">
      <w:pPr>
        <w:jc w:val="center"/>
        <w:rPr>
          <w:lang w:val="en-US" w:eastAsia="zh-CN"/>
        </w:rPr>
      </w:pPr>
      <w:r>
        <w:rPr>
          <w:lang w:val="en-US" w:eastAsia="zh-CN"/>
        </w:rPr>
        <w:t xml:space="preserve">SSB Composite </w:t>
      </w:r>
      <w:r w:rsidRPr="008633BC">
        <w:rPr>
          <w:lang w:val="en-US" w:eastAsia="zh-CN"/>
        </w:rPr>
        <w:t xml:space="preserve">Available Capacity </w:t>
      </w:r>
      <w:proofErr w:type="gramStart"/>
      <w:r w:rsidRPr="008633BC">
        <w:rPr>
          <w:lang w:val="en-US" w:eastAsia="zh-CN"/>
        </w:rPr>
        <w:t xml:space="preserve">= </w:t>
      </w:r>
      <w:r w:rsidR="0008320E">
        <w:rPr>
          <w:lang w:val="en-US" w:eastAsia="zh-CN"/>
        </w:rPr>
        <w:t xml:space="preserve"> </w:t>
      </w:r>
      <w:r w:rsidR="00A156B2">
        <w:rPr>
          <w:lang w:val="en-US" w:eastAsia="zh-CN"/>
        </w:rPr>
        <w:t>SSB</w:t>
      </w:r>
      <w:proofErr w:type="gramEnd"/>
      <w:r w:rsidRPr="008633BC">
        <w:rPr>
          <w:lang w:val="en-US" w:eastAsia="zh-CN"/>
        </w:rPr>
        <w:t xml:space="preserve"> Capacity </w:t>
      </w:r>
      <w:r w:rsidR="00C07066">
        <w:rPr>
          <w:lang w:val="en-US" w:eastAsia="zh-CN"/>
        </w:rPr>
        <w:t xml:space="preserve">Class </w:t>
      </w:r>
      <w:r w:rsidRPr="008633BC">
        <w:rPr>
          <w:lang w:val="en-US" w:eastAsia="zh-CN"/>
        </w:rPr>
        <w:t xml:space="preserve">Value * </w:t>
      </w:r>
      <w:r>
        <w:rPr>
          <w:lang w:val="en-US" w:eastAsia="zh-CN"/>
        </w:rPr>
        <w:t xml:space="preserve">SSB </w:t>
      </w:r>
      <w:r w:rsidRPr="008633BC">
        <w:rPr>
          <w:lang w:val="en-US" w:eastAsia="zh-CN"/>
        </w:rPr>
        <w:t>Capacity Value</w:t>
      </w:r>
      <w:r>
        <w:rPr>
          <w:lang w:val="en-US" w:eastAsia="zh-CN"/>
        </w:rPr>
        <w:t>,</w:t>
      </w:r>
    </w:p>
    <w:p w14:paraId="651D350D" w14:textId="52A12343" w:rsidR="006001AB" w:rsidRDefault="00F77A30" w:rsidP="00B04CCE">
      <w:pPr>
        <w:jc w:val="both"/>
        <w:rPr>
          <w:rFonts w:eastAsiaTheme="minorEastAsia"/>
          <w:lang w:val="en-US" w:eastAsia="zh-CN"/>
        </w:rPr>
      </w:pPr>
      <w:r>
        <w:rPr>
          <w:lang w:val="en-US" w:eastAsia="zh-CN"/>
        </w:rPr>
        <w:t>w</w:t>
      </w:r>
      <w:r w:rsidR="00E95D4A">
        <w:rPr>
          <w:lang w:val="en-US" w:eastAsia="zh-CN"/>
        </w:rPr>
        <w:t>here</w:t>
      </w:r>
      <w:r w:rsidR="00E2172F">
        <w:rPr>
          <w:lang w:val="en-US" w:eastAsia="zh-CN"/>
        </w:rPr>
        <w:t xml:space="preserve"> the </w:t>
      </w:r>
      <w:r w:rsidR="00E2172F" w:rsidRPr="00A26D5A">
        <w:rPr>
          <w:i/>
          <w:lang w:val="en-US" w:eastAsia="zh-CN"/>
        </w:rPr>
        <w:t>SSB Capacity Class Value</w:t>
      </w:r>
      <w:r w:rsidR="0040745F">
        <w:rPr>
          <w:lang w:val="en-US" w:eastAsia="zh-CN"/>
        </w:rPr>
        <w:t xml:space="preserve"> </w:t>
      </w:r>
      <w:r w:rsidR="00A26D5A">
        <w:rPr>
          <w:lang w:val="en-US" w:eastAsia="zh-CN"/>
        </w:rPr>
        <w:t>(</w:t>
      </w:r>
      <m:oMath>
        <m:r>
          <w:rPr>
            <w:rFonts w:ascii="Cambria Math" w:eastAsiaTheme="minorEastAsia" w:hAnsi="Cambria Math"/>
            <w:lang w:val="en-US" w:eastAsia="zh-CN"/>
          </w:rPr>
          <m:t>SCCV</m:t>
        </m:r>
      </m:oMath>
      <w:r w:rsidR="00A26D5A">
        <w:rPr>
          <w:rFonts w:eastAsiaTheme="minorEastAsia"/>
          <w:lang w:val="en-US" w:eastAsia="zh-CN"/>
        </w:rPr>
        <w:t>)</w:t>
      </w:r>
      <w:r w:rsidR="0040745F">
        <w:rPr>
          <w:rFonts w:eastAsiaTheme="minorEastAsia"/>
          <w:lang w:val="en-US" w:eastAsia="zh-CN"/>
        </w:rPr>
        <w:t xml:space="preserve"> </w:t>
      </w:r>
      <w:r w:rsidR="000600AB">
        <w:rPr>
          <w:rFonts w:eastAsiaTheme="minorEastAsia"/>
          <w:lang w:val="en-US" w:eastAsia="zh-CN"/>
        </w:rPr>
        <w:t xml:space="preserve">is an integer in </w:t>
      </w:r>
      <w:r w:rsidR="0067570E">
        <w:rPr>
          <w:rFonts w:eastAsiaTheme="minorEastAsia"/>
          <w:lang w:val="en-US" w:eastAsia="zh-CN"/>
        </w:rPr>
        <w:t xml:space="preserve">1-100 </w:t>
      </w:r>
      <w:r w:rsidR="0040745F">
        <w:rPr>
          <w:rFonts w:eastAsiaTheme="minorEastAsia"/>
          <w:lang w:val="en-US" w:eastAsia="zh-CN"/>
        </w:rPr>
        <w:t>indicat</w:t>
      </w:r>
      <w:r w:rsidR="000600AB">
        <w:rPr>
          <w:rFonts w:eastAsiaTheme="minorEastAsia"/>
          <w:lang w:val="en-US" w:eastAsia="zh-CN"/>
        </w:rPr>
        <w:t>ing</w:t>
      </w:r>
      <w:r w:rsidR="0040745F">
        <w:rPr>
          <w:rFonts w:eastAsiaTheme="minorEastAsia"/>
          <w:lang w:val="en-US" w:eastAsia="zh-CN"/>
        </w:rPr>
        <w:t xml:space="preserve"> the </w:t>
      </w:r>
      <w:r w:rsidR="00C170C4">
        <w:rPr>
          <w:rFonts w:eastAsiaTheme="minorEastAsia"/>
          <w:lang w:val="en-US" w:eastAsia="zh-CN"/>
        </w:rPr>
        <w:t>total resources configured for traffic purposes in the coverage area of SSB s-</w:t>
      </w:r>
      <w:proofErr w:type="spellStart"/>
      <w:r w:rsidR="00C170C4">
        <w:rPr>
          <w:rFonts w:eastAsiaTheme="minorEastAsia"/>
          <w:lang w:val="en-US" w:eastAsia="zh-CN"/>
        </w:rPr>
        <w:t>th</w:t>
      </w:r>
      <w:proofErr w:type="spellEnd"/>
      <w:r w:rsidR="0067570E">
        <w:rPr>
          <w:rFonts w:eastAsiaTheme="minorEastAsia"/>
          <w:lang w:val="en-US" w:eastAsia="zh-CN"/>
        </w:rPr>
        <w:t xml:space="preserve">, </w:t>
      </w:r>
      <w:r w:rsidR="007342A6">
        <w:rPr>
          <w:rFonts w:eastAsiaTheme="minorEastAsia"/>
          <w:lang w:val="en-US" w:eastAsia="zh-CN"/>
        </w:rPr>
        <w:t>whereas</w:t>
      </w:r>
      <w:r w:rsidR="00A26D5A">
        <w:rPr>
          <w:rFonts w:eastAsiaTheme="minorEastAsia"/>
          <w:lang w:val="en-US" w:eastAsia="zh-CN"/>
        </w:rPr>
        <w:t xml:space="preserve"> the </w:t>
      </w:r>
      <w:r w:rsidR="00A26D5A" w:rsidRPr="00770902">
        <w:rPr>
          <w:i/>
          <w:lang w:val="en-US" w:eastAsia="zh-CN"/>
        </w:rPr>
        <w:t>SSB Capacity Value</w:t>
      </w:r>
      <w:r w:rsidR="0040745F">
        <w:rPr>
          <w:rFonts w:eastAsiaTheme="minorEastAsia"/>
          <w:lang w:val="en-US" w:eastAsia="zh-CN"/>
        </w:rPr>
        <w:t xml:space="preserve"> </w:t>
      </w:r>
      <w:r w:rsidR="00A26D5A">
        <w:rPr>
          <w:rFonts w:eastAsiaTheme="minorEastAsia"/>
          <w:lang w:val="en-US" w:eastAsia="zh-CN"/>
        </w:rPr>
        <w:t>(</w:t>
      </w:r>
      <m:oMath>
        <m:r>
          <w:rPr>
            <w:rFonts w:ascii="Cambria Math" w:eastAsiaTheme="minorEastAsia" w:hAnsi="Cambria Math"/>
            <w:lang w:val="en-US" w:eastAsia="zh-CN"/>
          </w:rPr>
          <m:t>CV</m:t>
        </m:r>
      </m:oMath>
      <w:r w:rsidR="00A26D5A">
        <w:rPr>
          <w:rFonts w:eastAsiaTheme="minorEastAsia"/>
          <w:lang w:val="en-US" w:eastAsia="zh-CN"/>
        </w:rPr>
        <w:t>) i</w:t>
      </w:r>
      <w:r w:rsidR="0067570E">
        <w:rPr>
          <w:lang w:val="en-US" w:eastAsia="zh-CN"/>
        </w:rPr>
        <w:t xml:space="preserve">s an integer in 0-100 </w:t>
      </w:r>
      <w:r>
        <w:rPr>
          <w:lang w:val="en-US" w:eastAsia="zh-CN"/>
        </w:rPr>
        <w:t xml:space="preserve">indicates </w:t>
      </w:r>
      <w:r w:rsidRPr="00004A23">
        <w:rPr>
          <w:lang w:val="en-US"/>
        </w:rPr>
        <w:t xml:space="preserve">the amount of resources that are available </w:t>
      </w:r>
      <w:r>
        <w:rPr>
          <w:lang w:val="en-US"/>
        </w:rPr>
        <w:t>for SSB</w:t>
      </w:r>
      <w:r w:rsidR="0040745F">
        <w:rPr>
          <w:lang w:val="en-US"/>
        </w:rPr>
        <w:t xml:space="preserve"> </w:t>
      </w:r>
      <w:r w:rsidR="0040745F" w:rsidRPr="0067570E">
        <w:rPr>
          <w:i/>
          <w:lang w:val="en-US"/>
        </w:rPr>
        <w:t>s</w:t>
      </w:r>
      <w:r w:rsidR="0040745F">
        <w:rPr>
          <w:lang w:val="en-US"/>
        </w:rPr>
        <w:t>-</w:t>
      </w:r>
      <w:proofErr w:type="spellStart"/>
      <w:r w:rsidR="0040745F">
        <w:rPr>
          <w:lang w:val="en-US"/>
        </w:rPr>
        <w:t>th</w:t>
      </w:r>
      <w:proofErr w:type="spellEnd"/>
      <w:r w:rsidR="0040745F">
        <w:rPr>
          <w:lang w:val="en-US"/>
        </w:rPr>
        <w:t xml:space="preserve"> </w:t>
      </w:r>
      <w:r w:rsidRPr="00004A23">
        <w:rPr>
          <w:lang w:val="en-US"/>
        </w:rPr>
        <w:t>relative to the tot</w:t>
      </w:r>
      <w:r w:rsidR="0040745F">
        <w:rPr>
          <w:lang w:val="en-US"/>
        </w:rPr>
        <w:t xml:space="preserve">al resources </w:t>
      </w:r>
      <m:oMath>
        <m:r>
          <w:rPr>
            <w:rFonts w:ascii="Cambria Math" w:eastAsiaTheme="minorEastAsia" w:hAnsi="Cambria Math"/>
            <w:lang w:val="en-US" w:eastAsia="zh-CN"/>
          </w:rPr>
          <m:t>SCC</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V</m:t>
            </m:r>
          </m:e>
          <m:sub>
            <m:r>
              <w:rPr>
                <w:rFonts w:ascii="Cambria Math" w:eastAsiaTheme="minorEastAsia" w:hAnsi="Cambria Math"/>
                <w:lang w:val="en-US" w:eastAsia="zh-CN"/>
              </w:rPr>
              <m:t>s</m:t>
            </m:r>
          </m:sub>
        </m:sSub>
      </m:oMath>
      <w:r w:rsidR="00AD68FA">
        <w:rPr>
          <w:rFonts w:eastAsiaTheme="minorEastAsia"/>
          <w:lang w:val="en-US" w:eastAsia="zh-CN"/>
        </w:rPr>
        <w:t xml:space="preserve">. </w:t>
      </w:r>
      <w:r w:rsidR="00474E9C">
        <w:rPr>
          <w:rFonts w:eastAsiaTheme="minorEastAsia"/>
          <w:lang w:val="en-US" w:eastAsia="zh-CN"/>
        </w:rPr>
        <w:t xml:space="preserve"> In what follows we shall use the short hand notation</w:t>
      </w:r>
    </w:p>
    <w:p w14:paraId="654BDD3D" w14:textId="2337AE9E" w:rsidR="00474E9C" w:rsidRPr="0033134D" w:rsidRDefault="00474E9C" w:rsidP="00B04CCE">
      <w:pPr>
        <w:jc w:val="both"/>
        <w:rPr>
          <w:rFonts w:eastAsiaTheme="minorEastAsia"/>
          <w:lang w:val="en-US" w:eastAsia="zh-CN"/>
        </w:rPr>
      </w:pPr>
      <m:oMathPara>
        <m:oMath>
          <m:r>
            <w:rPr>
              <w:rFonts w:ascii="Cambria Math" w:hAnsi="Cambria Math"/>
              <w:lang w:val="en-US" w:eastAsia="zh-CN"/>
            </w:rPr>
            <m:t>CA</m:t>
          </m:r>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s</m:t>
              </m:r>
            </m:sub>
          </m:sSub>
          <m:r>
            <w:rPr>
              <w:rFonts w:ascii="Cambria Math" w:eastAsiaTheme="minorEastAsia" w:hAnsi="Cambria Math"/>
              <w:lang w:val="en-US" w:eastAsia="zh-CN"/>
            </w:rPr>
            <m:t>=SCC</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V</m:t>
              </m:r>
            </m:e>
            <m:sub>
              <m:r>
                <w:rPr>
                  <w:rFonts w:ascii="Cambria Math" w:eastAsiaTheme="minorEastAsia" w:hAnsi="Cambria Math"/>
                  <w:lang w:val="en-US" w:eastAsia="zh-CN"/>
                </w:rPr>
                <m:t>s</m:t>
              </m:r>
            </m:sub>
          </m:sSub>
          <m:r>
            <w:rPr>
              <w:rFonts w:ascii="Cambria Math" w:eastAsiaTheme="minorEastAsia" w:hAnsi="Cambria Math"/>
              <w:lang w:val="en-US" w:eastAsia="zh-CN"/>
            </w:rPr>
            <m:t>⋅C</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V</m:t>
              </m:r>
            </m:e>
            <m:sub>
              <m:r>
                <w:rPr>
                  <w:rFonts w:ascii="Cambria Math" w:eastAsiaTheme="minorEastAsia" w:hAnsi="Cambria Math"/>
                  <w:lang w:val="en-US" w:eastAsia="zh-CN"/>
                </w:rPr>
                <m:t>s</m:t>
              </m:r>
            </m:sub>
          </m:sSub>
        </m:oMath>
      </m:oMathPara>
    </w:p>
    <w:p w14:paraId="2A32B393" w14:textId="7866E6EC" w:rsidR="0033134D" w:rsidRDefault="0033134D" w:rsidP="00B04CCE">
      <w:pPr>
        <w:jc w:val="both"/>
        <w:rPr>
          <w:lang w:val="en-US" w:eastAsia="zh-CN"/>
        </w:rPr>
      </w:pPr>
      <w:r>
        <w:rPr>
          <w:lang w:val="en-US" w:eastAsia="zh-CN"/>
        </w:rPr>
        <w:t xml:space="preserve">to denote the composite available capacity for an SSB beam </w:t>
      </w:r>
      <w:r w:rsidRPr="0033134D">
        <w:rPr>
          <w:i/>
          <w:lang w:val="en-US" w:eastAsia="zh-CN"/>
        </w:rPr>
        <w:t>s</w:t>
      </w:r>
      <w:r>
        <w:rPr>
          <w:lang w:val="en-US" w:eastAsia="zh-CN"/>
        </w:rPr>
        <w:t>.</w:t>
      </w:r>
    </w:p>
    <w:p w14:paraId="3FB6756B" w14:textId="04B364C8" w:rsidR="00E95D4A" w:rsidRDefault="007342A6" w:rsidP="00B04CCE">
      <w:pPr>
        <w:jc w:val="both"/>
        <w:rPr>
          <w:rFonts w:eastAsiaTheme="minorEastAsia"/>
          <w:lang w:val="en-US" w:eastAsia="zh-CN"/>
        </w:rPr>
      </w:pPr>
      <w:r>
        <w:rPr>
          <w:rFonts w:eastAsiaTheme="minorEastAsia"/>
          <w:lang w:val="en-US" w:eastAsia="zh-CN"/>
        </w:rPr>
        <w:t xml:space="preserve">The value of </w:t>
      </w:r>
      <m:oMath>
        <m:r>
          <w:rPr>
            <w:rFonts w:ascii="Cambria Math" w:eastAsiaTheme="minorEastAsia" w:hAnsi="Cambria Math"/>
            <w:lang w:val="en-US" w:eastAsia="zh-CN"/>
          </w:rPr>
          <m:t>SCC</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V</m:t>
            </m:r>
          </m:e>
          <m:sub>
            <m:r>
              <w:rPr>
                <w:rFonts w:ascii="Cambria Math" w:eastAsiaTheme="minorEastAsia" w:hAnsi="Cambria Math"/>
                <w:lang w:val="en-US" w:eastAsia="zh-CN"/>
              </w:rPr>
              <m:t>s</m:t>
            </m:r>
          </m:sub>
        </m:sSub>
      </m:oMath>
      <w:r w:rsidR="00CE3C92">
        <w:rPr>
          <w:rFonts w:eastAsiaTheme="minorEastAsia"/>
          <w:lang w:val="en-US" w:eastAsia="zh-CN"/>
        </w:rPr>
        <w:t xml:space="preserve"> </w:t>
      </w:r>
      <w:r w:rsidR="009029AA">
        <w:rPr>
          <w:rFonts w:eastAsiaTheme="minorEastAsia"/>
          <w:lang w:val="en-US" w:eastAsia="zh-CN"/>
        </w:rPr>
        <w:t xml:space="preserve">is implementation specific and </w:t>
      </w:r>
      <w:r w:rsidR="00077653">
        <w:rPr>
          <w:rFonts w:eastAsiaTheme="minorEastAsia"/>
          <w:lang w:val="en-US" w:eastAsia="zh-CN"/>
        </w:rPr>
        <w:t xml:space="preserve">its value </w:t>
      </w:r>
      <w:r w:rsidR="00526B75">
        <w:rPr>
          <w:rFonts w:eastAsiaTheme="minorEastAsia"/>
          <w:lang w:val="en-US" w:eastAsia="zh-CN"/>
        </w:rPr>
        <w:t>depend</w:t>
      </w:r>
      <w:r w:rsidR="00077653">
        <w:rPr>
          <w:rFonts w:eastAsiaTheme="minorEastAsia"/>
          <w:lang w:val="en-US" w:eastAsia="zh-CN"/>
        </w:rPr>
        <w:t>s</w:t>
      </w:r>
      <w:r w:rsidR="00526B75">
        <w:rPr>
          <w:rFonts w:eastAsiaTheme="minorEastAsia"/>
          <w:lang w:val="en-US" w:eastAsia="zh-CN"/>
        </w:rPr>
        <w:t xml:space="preserve"> on how the cell resources are distributed among SSBs. For instance, </w:t>
      </w:r>
      <w:r w:rsidR="00003480">
        <w:rPr>
          <w:rFonts w:eastAsiaTheme="minorEastAsia"/>
          <w:lang w:val="en-US" w:eastAsia="zh-CN"/>
        </w:rPr>
        <w:t xml:space="preserve">in case </w:t>
      </w:r>
      <w:r w:rsidR="00D47A7A">
        <w:rPr>
          <w:rFonts w:eastAsiaTheme="minorEastAsia"/>
          <w:lang w:val="en-US" w:eastAsia="zh-CN"/>
        </w:rPr>
        <w:t xml:space="preserve">of full reuse of the </w:t>
      </w:r>
      <w:r w:rsidR="00003480">
        <w:rPr>
          <w:rFonts w:eastAsiaTheme="minorEastAsia"/>
          <w:lang w:val="en-US" w:eastAsia="zh-CN"/>
        </w:rPr>
        <w:t xml:space="preserve">cell’s resources </w:t>
      </w:r>
      <w:r w:rsidR="008F5A87">
        <w:rPr>
          <w:rFonts w:eastAsiaTheme="minorEastAsia"/>
          <w:lang w:val="en-US" w:eastAsia="zh-CN"/>
        </w:rPr>
        <w:t>among the coverage are</w:t>
      </w:r>
      <w:r w:rsidR="00341CF5">
        <w:rPr>
          <w:rFonts w:eastAsiaTheme="minorEastAsia"/>
          <w:lang w:val="en-US" w:eastAsia="zh-CN"/>
        </w:rPr>
        <w:t>a</w:t>
      </w:r>
      <w:r w:rsidR="008F5A87">
        <w:rPr>
          <w:rFonts w:eastAsiaTheme="minorEastAsia"/>
          <w:lang w:val="en-US" w:eastAsia="zh-CN"/>
        </w:rPr>
        <w:t xml:space="preserve"> of</w:t>
      </w:r>
      <w:r w:rsidR="00003480">
        <w:rPr>
          <w:rFonts w:eastAsiaTheme="minorEastAsia"/>
          <w:lang w:val="en-US" w:eastAsia="zh-CN"/>
        </w:rPr>
        <w:t xml:space="preserve"> each SSB beam</w:t>
      </w:r>
      <w:r w:rsidR="00077653">
        <w:rPr>
          <w:rFonts w:eastAsiaTheme="minorEastAsia"/>
          <w:lang w:val="en-US" w:eastAsia="zh-CN"/>
        </w:rPr>
        <w:t xml:space="preserve"> th</w:t>
      </w:r>
      <w:r w:rsidR="00A72DED">
        <w:rPr>
          <w:rFonts w:eastAsiaTheme="minorEastAsia"/>
          <w:lang w:val="en-US" w:eastAsia="zh-CN"/>
        </w:rPr>
        <w:t>e</w:t>
      </w:r>
      <w:r w:rsidR="00077653">
        <w:rPr>
          <w:rFonts w:eastAsiaTheme="minorEastAsia"/>
          <w:lang w:val="en-US" w:eastAsia="zh-CN"/>
        </w:rPr>
        <w:t xml:space="preserve"> SCCV</w:t>
      </w:r>
      <w:r w:rsidR="00A72DED">
        <w:rPr>
          <w:rFonts w:eastAsiaTheme="minorEastAsia"/>
          <w:lang w:val="en-US" w:eastAsia="zh-CN"/>
        </w:rPr>
        <w:t xml:space="preserve"> of each SSB would </w:t>
      </w:r>
      <w:r w:rsidR="007B3D53">
        <w:rPr>
          <w:rFonts w:eastAsiaTheme="minorEastAsia"/>
          <w:lang w:val="en-US" w:eastAsia="zh-CN"/>
        </w:rPr>
        <w:t>have the same value, corresponding to the capacity of the full set of resources assigned to the cell</w:t>
      </w:r>
      <w:r w:rsidR="00631A94">
        <w:rPr>
          <w:rFonts w:eastAsiaTheme="minorEastAsia"/>
          <w:lang w:val="en-US" w:eastAsia="zh-CN"/>
        </w:rPr>
        <w:t xml:space="preserve">. On the other end, if the cell resources are </w:t>
      </w:r>
      <w:r w:rsidR="00BB6AD1">
        <w:rPr>
          <w:rFonts w:eastAsiaTheme="minorEastAsia"/>
          <w:lang w:val="en-US" w:eastAsia="zh-CN"/>
        </w:rPr>
        <w:t xml:space="preserve">split </w:t>
      </w:r>
      <w:r w:rsidR="00B60366">
        <w:rPr>
          <w:rFonts w:eastAsiaTheme="minorEastAsia"/>
          <w:lang w:val="en-US" w:eastAsia="zh-CN"/>
        </w:rPr>
        <w:t>amongst SSB coverage areas, the SCCV of each SSB would have a value proportional to the amount of resources available in that SSB area.</w:t>
      </w:r>
    </w:p>
    <w:p w14:paraId="740B46A2" w14:textId="0CD242C5" w:rsidR="0067617F" w:rsidRDefault="0076224F" w:rsidP="0067617F">
      <w:pPr>
        <w:keepNext/>
        <w:jc w:val="center"/>
      </w:pPr>
      <w:r>
        <w:rPr>
          <w:noProof/>
        </w:rPr>
        <w:drawing>
          <wp:inline distT="0" distB="0" distL="0" distR="0" wp14:anchorId="24966A51" wp14:editId="2F55BF37">
            <wp:extent cx="3296265" cy="1977649"/>
            <wp:effectExtent l="0" t="0" r="0" b="3810"/>
            <wp:docPr id="1" name="Chart 1">
              <a:extLst xmlns:a="http://schemas.openxmlformats.org/drawingml/2006/main">
                <a:ext uri="{FF2B5EF4-FFF2-40B4-BE49-F238E27FC236}">
                  <a16:creationId xmlns:a16="http://schemas.microsoft.com/office/drawing/2014/main" id="{34D4B859-4DE6-4E13-9DF4-F9A570F66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CF88FA8" w14:textId="6E955D55" w:rsidR="00F3248F" w:rsidRPr="0067617F" w:rsidRDefault="0067617F" w:rsidP="0067617F">
      <w:pPr>
        <w:pStyle w:val="Caption"/>
        <w:rPr>
          <w:lang w:val="en-US"/>
        </w:rPr>
      </w:pPr>
      <w:bookmarkStart w:id="6" w:name="_Ref6993806"/>
      <w:r w:rsidRPr="0067617F">
        <w:rPr>
          <w:lang w:val="en-US"/>
        </w:rPr>
        <w:t xml:space="preserve">Figure </w:t>
      </w:r>
      <w:r>
        <w:fldChar w:fldCharType="begin"/>
      </w:r>
      <w:r w:rsidRPr="0067617F">
        <w:rPr>
          <w:lang w:val="en-US"/>
        </w:rPr>
        <w:instrText xml:space="preserve"> SEQ Figure \* ARABIC </w:instrText>
      </w:r>
      <w:r>
        <w:fldChar w:fldCharType="separate"/>
      </w:r>
      <w:r w:rsidRPr="0067617F">
        <w:rPr>
          <w:noProof/>
          <w:lang w:val="en-US"/>
        </w:rPr>
        <w:t>3</w:t>
      </w:r>
      <w:r>
        <w:fldChar w:fldCharType="end"/>
      </w:r>
      <w:bookmarkEnd w:id="6"/>
      <w:r w:rsidRPr="0067617F">
        <w:rPr>
          <w:lang w:val="en-US"/>
        </w:rPr>
        <w:t xml:space="preserve">: </w:t>
      </w:r>
      <w:r w:rsidR="0004596F">
        <w:rPr>
          <w:lang w:val="en-US"/>
        </w:rPr>
        <w:t>Illustration of c</w:t>
      </w:r>
      <w:r w:rsidR="00F40D27">
        <w:rPr>
          <w:lang w:val="en-US"/>
        </w:rPr>
        <w:t xml:space="preserve">omposite </w:t>
      </w:r>
      <w:r w:rsidR="0004596F">
        <w:rPr>
          <w:lang w:val="en-US"/>
        </w:rPr>
        <w:t xml:space="preserve">available capacity per SSB </w:t>
      </w:r>
      <w:r w:rsidR="006B10D8">
        <w:rPr>
          <w:lang w:val="en-US"/>
        </w:rPr>
        <w:t xml:space="preserve">for the example in </w:t>
      </w:r>
      <w:r w:rsidR="006141DA">
        <w:rPr>
          <w:lang w:val="en-US"/>
        </w:rPr>
        <w:fldChar w:fldCharType="begin"/>
      </w:r>
      <w:r w:rsidR="006141DA">
        <w:rPr>
          <w:lang w:val="en-US"/>
        </w:rPr>
        <w:instrText xml:space="preserve"> REF _Ref6990924 \h </w:instrText>
      </w:r>
      <w:r w:rsidR="006141DA">
        <w:rPr>
          <w:lang w:val="en-US"/>
        </w:rPr>
      </w:r>
      <w:r w:rsidR="006141DA">
        <w:rPr>
          <w:lang w:val="en-US"/>
        </w:rPr>
        <w:fldChar w:fldCharType="separate"/>
      </w:r>
      <w:r w:rsidR="006141DA" w:rsidRPr="00693C54">
        <w:rPr>
          <w:lang w:val="en-US"/>
        </w:rPr>
        <w:t xml:space="preserve">Figure </w:t>
      </w:r>
      <w:r w:rsidR="006141DA">
        <w:rPr>
          <w:noProof/>
          <w:lang w:val="en-US"/>
        </w:rPr>
        <w:t>2</w:t>
      </w:r>
      <w:r w:rsidR="006141DA">
        <w:rPr>
          <w:lang w:val="en-US"/>
        </w:rPr>
        <w:fldChar w:fldCharType="end"/>
      </w:r>
      <w:r w:rsidR="0004596F">
        <w:rPr>
          <w:lang w:val="en-US"/>
        </w:rPr>
        <w:t>.</w:t>
      </w:r>
      <w:r w:rsidR="006B10D8">
        <w:rPr>
          <w:lang w:val="en-US"/>
        </w:rPr>
        <w:t xml:space="preserve"> </w:t>
      </w:r>
    </w:p>
    <w:p w14:paraId="64E59FFD" w14:textId="0C28B288" w:rsidR="00D83068" w:rsidRDefault="00894337" w:rsidP="002D3AC9">
      <w:pPr>
        <w:jc w:val="both"/>
        <w:rPr>
          <w:lang w:val="en-US"/>
        </w:rPr>
      </w:pPr>
      <w:r>
        <w:rPr>
          <w:lang w:val="en-US"/>
        </w:rPr>
        <w:fldChar w:fldCharType="begin"/>
      </w:r>
      <w:r>
        <w:rPr>
          <w:lang w:val="en-US"/>
        </w:rPr>
        <w:instrText xml:space="preserve"> REF _Ref6993806 \h </w:instrText>
      </w:r>
      <w:r>
        <w:rPr>
          <w:lang w:val="en-US"/>
        </w:rPr>
      </w:r>
      <w:r>
        <w:rPr>
          <w:lang w:val="en-US"/>
        </w:rPr>
        <w:fldChar w:fldCharType="separate"/>
      </w:r>
      <w:r w:rsidRPr="0067617F">
        <w:rPr>
          <w:lang w:val="en-US"/>
        </w:rPr>
        <w:t xml:space="preserve">Figure </w:t>
      </w:r>
      <w:r w:rsidRPr="0067617F">
        <w:rPr>
          <w:noProof/>
          <w:lang w:val="en-US"/>
        </w:rPr>
        <w:t>3</w:t>
      </w:r>
      <w:r>
        <w:rPr>
          <w:lang w:val="en-US"/>
        </w:rPr>
        <w:fldChar w:fldCharType="end"/>
      </w:r>
      <w:r>
        <w:rPr>
          <w:lang w:val="en-US"/>
        </w:rPr>
        <w:t xml:space="preserve"> shows an </w:t>
      </w:r>
      <w:r w:rsidR="003C3582">
        <w:rPr>
          <w:lang w:val="en-US"/>
        </w:rPr>
        <w:t xml:space="preserve">illustration of the CAC </w:t>
      </w:r>
      <w:r w:rsidR="00A84A16">
        <w:rPr>
          <w:lang w:val="en-US"/>
        </w:rPr>
        <w:t xml:space="preserve">per SSB and per cell </w:t>
      </w:r>
      <w:r w:rsidR="003C3582">
        <w:rPr>
          <w:lang w:val="en-US"/>
        </w:rPr>
        <w:t xml:space="preserve">for the example </w:t>
      </w:r>
      <w:r w:rsidR="00BE6152">
        <w:rPr>
          <w:lang w:val="en-US"/>
        </w:rPr>
        <w:t xml:space="preserve">depicted in </w:t>
      </w:r>
      <w:r w:rsidR="00BE6152">
        <w:rPr>
          <w:lang w:val="en-US"/>
        </w:rPr>
        <w:fldChar w:fldCharType="begin"/>
      </w:r>
      <w:r w:rsidR="00BE6152">
        <w:rPr>
          <w:lang w:val="en-US"/>
        </w:rPr>
        <w:instrText xml:space="preserve"> REF _Ref6990924 \h </w:instrText>
      </w:r>
      <w:r w:rsidR="00BE6152">
        <w:rPr>
          <w:lang w:val="en-US"/>
        </w:rPr>
      </w:r>
      <w:r w:rsidR="00BE6152">
        <w:rPr>
          <w:lang w:val="en-US"/>
        </w:rPr>
        <w:fldChar w:fldCharType="separate"/>
      </w:r>
      <w:r w:rsidR="00BE6152" w:rsidRPr="00693C54">
        <w:rPr>
          <w:lang w:val="en-US"/>
        </w:rPr>
        <w:t xml:space="preserve">Figure </w:t>
      </w:r>
      <w:r w:rsidR="00BE6152">
        <w:rPr>
          <w:noProof/>
          <w:lang w:val="en-US"/>
        </w:rPr>
        <w:t>2</w:t>
      </w:r>
      <w:r w:rsidR="00BE6152">
        <w:rPr>
          <w:lang w:val="en-US"/>
        </w:rPr>
        <w:fldChar w:fldCharType="end"/>
      </w:r>
      <w:r w:rsidR="0058077C">
        <w:rPr>
          <w:lang w:val="en-US"/>
        </w:rPr>
        <w:t xml:space="preserve"> and compares them to the cell-specific CAC defined in L</w:t>
      </w:r>
      <w:r w:rsidR="00A11D14">
        <w:rPr>
          <w:lang w:val="en-US"/>
        </w:rPr>
        <w:t>TE</w:t>
      </w:r>
      <w:r w:rsidR="00BE6152">
        <w:rPr>
          <w:lang w:val="en-US"/>
        </w:rPr>
        <w:t>.</w:t>
      </w:r>
      <w:r w:rsidR="00A11D14">
        <w:rPr>
          <w:lang w:val="en-US"/>
        </w:rPr>
        <w:t xml:space="preserve"> </w:t>
      </w:r>
      <w:r w:rsidR="0088494E">
        <w:rPr>
          <w:lang w:val="en-US"/>
        </w:rPr>
        <w:t>It is clear from this example that the LTE definition of</w:t>
      </w:r>
      <w:r w:rsidR="00756E37">
        <w:rPr>
          <w:lang w:val="en-US"/>
        </w:rPr>
        <w:t xml:space="preserve"> the cell</w:t>
      </w:r>
      <w:r w:rsidR="0088494E">
        <w:rPr>
          <w:lang w:val="en-US"/>
        </w:rPr>
        <w:t xml:space="preserve"> CAC cannot </w:t>
      </w:r>
      <w:r w:rsidR="009B5316">
        <w:rPr>
          <w:lang w:val="en-US"/>
        </w:rPr>
        <w:t xml:space="preserve">properly represent the available capacity for the SSB beam coverage areas. It is also apparent that the LTE </w:t>
      </w:r>
      <w:r w:rsidR="00756E37">
        <w:rPr>
          <w:lang w:val="en-US"/>
        </w:rPr>
        <w:t>definition of the cell CAC does not properly represent the available cell capacity when users can be spatially multipl</w:t>
      </w:r>
      <w:r w:rsidR="0026752B">
        <w:rPr>
          <w:lang w:val="en-US"/>
        </w:rPr>
        <w:t>exed.</w:t>
      </w:r>
    </w:p>
    <w:p w14:paraId="1055D49D" w14:textId="22F8ADEB" w:rsidR="0026752B" w:rsidRPr="00A57B08" w:rsidRDefault="0026752B" w:rsidP="0026752B">
      <w:pPr>
        <w:jc w:val="both"/>
        <w:rPr>
          <w:lang w:val="en-US" w:eastAsia="zh-CN"/>
        </w:rPr>
      </w:pPr>
    </w:p>
    <w:p w14:paraId="431ACDC9" w14:textId="633AB9D0" w:rsidR="0026752B" w:rsidRPr="002C6F10" w:rsidRDefault="004829A5" w:rsidP="000E6D46">
      <w:pPr>
        <w:pStyle w:val="ListParagraph"/>
        <w:numPr>
          <w:ilvl w:val="0"/>
          <w:numId w:val="37"/>
        </w:numPr>
        <w:ind w:left="1701" w:hanging="1701"/>
        <w:jc w:val="both"/>
        <w:rPr>
          <w:b/>
          <w:lang w:val="en-US" w:eastAsia="zh-CN"/>
        </w:rPr>
      </w:pPr>
      <w:bookmarkStart w:id="7" w:name="_Hlk7425863"/>
      <w:r>
        <w:rPr>
          <w:b/>
          <w:lang w:val="en-US" w:eastAsia="zh-CN"/>
        </w:rPr>
        <w:t>C</w:t>
      </w:r>
      <w:r w:rsidR="006E0010">
        <w:rPr>
          <w:b/>
          <w:lang w:val="en-US" w:eastAsia="zh-CN"/>
        </w:rPr>
        <w:t xml:space="preserve">omposite available capacity per SSB </w:t>
      </w:r>
      <w:r w:rsidR="002C6F10">
        <w:rPr>
          <w:b/>
          <w:lang w:val="en-US" w:eastAsia="zh-CN"/>
        </w:rPr>
        <w:t>beam coverage area</w:t>
      </w:r>
      <w:r>
        <w:rPr>
          <w:b/>
          <w:lang w:val="en-US" w:eastAsia="zh-CN"/>
        </w:rPr>
        <w:t xml:space="preserve"> should be supported for MLB</w:t>
      </w:r>
      <w:r w:rsidR="00A567E7">
        <w:rPr>
          <w:b/>
          <w:lang w:val="en-US" w:eastAsia="zh-CN"/>
        </w:rPr>
        <w:t>.</w:t>
      </w:r>
      <w:r>
        <w:rPr>
          <w:b/>
          <w:lang w:val="en-US" w:eastAsia="zh-CN"/>
        </w:rPr>
        <w:t xml:space="preserve"> </w:t>
      </w:r>
      <w:bookmarkEnd w:id="7"/>
    </w:p>
    <w:p w14:paraId="18F4B360" w14:textId="77777777" w:rsidR="00D84934" w:rsidRDefault="00D84934" w:rsidP="00074D86">
      <w:pPr>
        <w:pStyle w:val="Proposal"/>
        <w:numPr>
          <w:ilvl w:val="0"/>
          <w:numId w:val="0"/>
        </w:numPr>
        <w:tabs>
          <w:tab w:val="clear" w:pos="1701"/>
        </w:tabs>
        <w:jc w:val="both"/>
        <w:rPr>
          <w:rFonts w:cs="Arial"/>
          <w:b w:val="0"/>
          <w:lang w:val="en-US"/>
        </w:rPr>
      </w:pPr>
    </w:p>
    <w:p w14:paraId="05F0268B" w14:textId="5EF75AEB" w:rsidR="00074D86" w:rsidRPr="009C369B" w:rsidRDefault="00074D86" w:rsidP="00074D86">
      <w:pPr>
        <w:pStyle w:val="Proposal"/>
        <w:numPr>
          <w:ilvl w:val="0"/>
          <w:numId w:val="0"/>
        </w:numPr>
        <w:tabs>
          <w:tab w:val="clear" w:pos="1701"/>
        </w:tabs>
        <w:jc w:val="both"/>
        <w:rPr>
          <w:rFonts w:cs="Arial"/>
          <w:b w:val="0"/>
          <w:lang w:val="en-US"/>
        </w:rPr>
      </w:pPr>
      <w:r w:rsidRPr="009C369B">
        <w:rPr>
          <w:rFonts w:cs="Arial"/>
          <w:b w:val="0"/>
          <w:lang w:val="en-US"/>
        </w:rPr>
        <w:t xml:space="preserve">The above </w:t>
      </w:r>
      <w:r w:rsidR="00823AAB" w:rsidRPr="009C369B">
        <w:rPr>
          <w:rFonts w:cs="Arial"/>
          <w:b w:val="0"/>
          <w:lang w:val="en-US"/>
        </w:rPr>
        <w:t xml:space="preserve">definitions of available capacity per SSB coverage areas </w:t>
      </w:r>
      <w:r w:rsidRPr="009C369B">
        <w:rPr>
          <w:rFonts w:cs="Arial"/>
          <w:b w:val="0"/>
          <w:lang w:val="en-US"/>
        </w:rPr>
        <w:t xml:space="preserve">have been captured in a Text Proposal (TP) to TR 37.816 in </w:t>
      </w:r>
      <w:r w:rsidR="00AF7DEC">
        <w:rPr>
          <w:rFonts w:cs="Arial"/>
          <w:b w:val="0"/>
          <w:lang w:val="en-US"/>
        </w:rPr>
        <w:fldChar w:fldCharType="begin"/>
      </w:r>
      <w:r w:rsidR="00AF7DEC">
        <w:rPr>
          <w:rFonts w:cs="Arial"/>
          <w:b w:val="0"/>
          <w:lang w:val="en-US"/>
        </w:rPr>
        <w:instrText xml:space="preserve"> REF _Ref7427728 \r \h </w:instrText>
      </w:r>
      <w:r w:rsidR="00AF7DEC">
        <w:rPr>
          <w:rFonts w:cs="Arial"/>
          <w:b w:val="0"/>
          <w:lang w:val="en-US"/>
        </w:rPr>
      </w:r>
      <w:r w:rsidR="00AF7DEC">
        <w:rPr>
          <w:rFonts w:cs="Arial"/>
          <w:b w:val="0"/>
          <w:lang w:val="en-US"/>
        </w:rPr>
        <w:fldChar w:fldCharType="separate"/>
      </w:r>
      <w:r w:rsidR="00AF7DEC">
        <w:rPr>
          <w:rFonts w:cs="Arial"/>
          <w:b w:val="0"/>
          <w:lang w:val="en-US"/>
        </w:rPr>
        <w:t>[5]</w:t>
      </w:r>
      <w:r w:rsidR="00AF7DEC">
        <w:rPr>
          <w:rFonts w:cs="Arial"/>
          <w:b w:val="0"/>
          <w:lang w:val="en-US"/>
        </w:rPr>
        <w:fldChar w:fldCharType="end"/>
      </w:r>
      <w:r w:rsidRPr="009C369B">
        <w:rPr>
          <w:rFonts w:cs="Arial"/>
          <w:b w:val="0"/>
          <w:lang w:val="en-US"/>
        </w:rPr>
        <w:t>.</w:t>
      </w:r>
    </w:p>
    <w:p w14:paraId="690343FD" w14:textId="7547F74A" w:rsidR="00074D86" w:rsidRPr="003761FA" w:rsidRDefault="00074D86" w:rsidP="000E6D46">
      <w:pPr>
        <w:pStyle w:val="ListParagraph"/>
        <w:numPr>
          <w:ilvl w:val="0"/>
          <w:numId w:val="37"/>
        </w:numPr>
        <w:ind w:left="1701" w:hanging="1701"/>
        <w:jc w:val="both"/>
        <w:rPr>
          <w:b/>
          <w:lang w:val="en-US" w:eastAsia="zh-CN"/>
        </w:rPr>
      </w:pPr>
      <w:r w:rsidRPr="003761FA">
        <w:rPr>
          <w:b/>
          <w:lang w:val="en-US" w:eastAsia="zh-CN"/>
        </w:rPr>
        <w:t xml:space="preserve">Agree to TP to </w:t>
      </w:r>
      <w:r w:rsidRPr="003761FA">
        <w:rPr>
          <w:rFonts w:cs="Arial"/>
          <w:b/>
          <w:lang w:val="en-US"/>
        </w:rPr>
        <w:t>TR 37.816</w:t>
      </w:r>
      <w:r w:rsidRPr="003761FA">
        <w:rPr>
          <w:b/>
          <w:lang w:val="en-US" w:eastAsia="zh-CN"/>
        </w:rPr>
        <w:t xml:space="preserve"> </w:t>
      </w:r>
      <w:r w:rsidRPr="003761FA">
        <w:rPr>
          <w:rFonts w:cs="Arial"/>
          <w:b/>
          <w:lang w:val="en-US"/>
        </w:rPr>
        <w:t xml:space="preserve">for Load </w:t>
      </w:r>
      <w:r w:rsidR="003761FA" w:rsidRPr="003761FA">
        <w:rPr>
          <w:rFonts w:cs="Arial"/>
          <w:b/>
          <w:lang w:val="en-US"/>
        </w:rPr>
        <w:t>Information per SSB Beam</w:t>
      </w:r>
      <w:r w:rsidR="00EB4B98">
        <w:rPr>
          <w:rFonts w:cs="Arial"/>
          <w:b/>
          <w:lang w:val="en-US"/>
        </w:rPr>
        <w:t xml:space="preserve"> </w:t>
      </w:r>
      <w:r w:rsidR="00EB4B98">
        <w:rPr>
          <w:rFonts w:cs="Arial"/>
          <w:b/>
          <w:lang w:val="en-US"/>
        </w:rPr>
        <w:fldChar w:fldCharType="begin"/>
      </w:r>
      <w:r w:rsidR="00EB4B98">
        <w:rPr>
          <w:rFonts w:cs="Arial"/>
          <w:b/>
          <w:lang w:val="en-US"/>
        </w:rPr>
        <w:instrText xml:space="preserve"> REF _Ref7426263 \r \h </w:instrText>
      </w:r>
      <w:r w:rsidR="00EB4B98">
        <w:rPr>
          <w:rFonts w:cs="Arial"/>
          <w:b/>
          <w:lang w:val="en-US"/>
        </w:rPr>
      </w:r>
      <w:r w:rsidR="00EB4B98">
        <w:rPr>
          <w:rFonts w:cs="Arial"/>
          <w:b/>
          <w:lang w:val="en-US"/>
        </w:rPr>
        <w:fldChar w:fldCharType="separate"/>
      </w:r>
      <w:r w:rsidR="00EB4B98">
        <w:rPr>
          <w:rFonts w:cs="Arial"/>
          <w:b/>
          <w:lang w:val="en-US"/>
        </w:rPr>
        <w:t>[5]</w:t>
      </w:r>
      <w:r w:rsidR="00EB4B98">
        <w:rPr>
          <w:rFonts w:cs="Arial"/>
          <w:b/>
          <w:lang w:val="en-US"/>
        </w:rPr>
        <w:fldChar w:fldCharType="end"/>
      </w:r>
      <w:r w:rsidRPr="003761FA">
        <w:rPr>
          <w:rFonts w:cs="Arial"/>
          <w:b/>
          <w:lang w:val="en-US"/>
        </w:rPr>
        <w:t>.</w:t>
      </w:r>
    </w:p>
    <w:p w14:paraId="2FD8B335" w14:textId="77777777" w:rsidR="00C01F33" w:rsidRPr="00CE0424" w:rsidRDefault="00C01F33" w:rsidP="000C1010">
      <w:pPr>
        <w:pStyle w:val="Heading1"/>
        <w:jc w:val="both"/>
      </w:pPr>
      <w:r w:rsidRPr="00CE0424">
        <w:t>Conclusion</w:t>
      </w:r>
    </w:p>
    <w:p w14:paraId="57E38EE2" w14:textId="12BAA672" w:rsidR="00495217" w:rsidRDefault="00495217" w:rsidP="000C1010">
      <w:pPr>
        <w:jc w:val="both"/>
        <w:rPr>
          <w:lang w:val="en-US"/>
        </w:rPr>
      </w:pPr>
      <w:bookmarkStart w:id="8" w:name="_In-sequence_SDU_delivery"/>
      <w:bookmarkStart w:id="9" w:name="_Toc502931810"/>
      <w:bookmarkStart w:id="10" w:name="_Toc502953352"/>
      <w:bookmarkStart w:id="11" w:name="_Toc502953538"/>
      <w:bookmarkStart w:id="12" w:name="_Toc502953582"/>
      <w:bookmarkStart w:id="13" w:name="_Hlk508794470"/>
      <w:bookmarkEnd w:id="8"/>
      <w:r>
        <w:rPr>
          <w:lang w:val="en-US"/>
        </w:rPr>
        <w:t>In this contribution, the following observations are captured:</w:t>
      </w:r>
    </w:p>
    <w:p w14:paraId="6323B904" w14:textId="64E6CF9C" w:rsidR="004E56A4" w:rsidRPr="000E6D46" w:rsidRDefault="004E56A4" w:rsidP="000E6D46">
      <w:pPr>
        <w:pStyle w:val="ListParagraph"/>
        <w:numPr>
          <w:ilvl w:val="0"/>
          <w:numId w:val="40"/>
        </w:numPr>
        <w:ind w:left="1701" w:hanging="1701"/>
        <w:rPr>
          <w:b/>
          <w:lang w:eastAsia="zh-CN"/>
        </w:rPr>
      </w:pPr>
      <w:r w:rsidRPr="00410306">
        <w:rPr>
          <w:b/>
          <w:lang w:val="en-US" w:eastAsia="zh-CN"/>
        </w:rPr>
        <w:t xml:space="preserve">Cell-specific load is not enough per se to characterize the spatial distribution of load in an NR cell an may lead to </w:t>
      </w:r>
      <w:r w:rsidRPr="000E6D46">
        <w:rPr>
          <w:b/>
          <w:lang w:val="en-US" w:eastAsia="zh-CN"/>
        </w:rPr>
        <w:t>wrong</w:t>
      </w:r>
      <w:r w:rsidRPr="00410306">
        <w:rPr>
          <w:b/>
          <w:lang w:val="en-US" w:eastAsia="zh-CN"/>
        </w:rPr>
        <w:t xml:space="preserve"> mobility decision for load balance and load sharing.  </w:t>
      </w:r>
    </w:p>
    <w:p w14:paraId="1D900FED" w14:textId="783B0621" w:rsidR="00495217" w:rsidRPr="000E6D46" w:rsidRDefault="00495217" w:rsidP="000E6D46">
      <w:pPr>
        <w:pStyle w:val="ListParagraph"/>
        <w:numPr>
          <w:ilvl w:val="0"/>
          <w:numId w:val="40"/>
        </w:numPr>
        <w:ind w:left="1701" w:hanging="1701"/>
        <w:rPr>
          <w:b/>
          <w:noProof/>
          <w:lang w:val="en-US"/>
        </w:rPr>
      </w:pPr>
      <w:r w:rsidRPr="000E6D46">
        <w:rPr>
          <w:b/>
          <w:noProof/>
          <w:lang w:val="en-US"/>
        </w:rPr>
        <w:t xml:space="preserve">The LTE cell-specific Composite Available Capacity cannot correctly represent the available capacity of a NR cell. </w:t>
      </w:r>
    </w:p>
    <w:p w14:paraId="77DA7F25" w14:textId="05B78C16" w:rsidR="00972E89" w:rsidRPr="000E6D46" w:rsidRDefault="00BA00E8" w:rsidP="000E6D46">
      <w:pPr>
        <w:jc w:val="both"/>
        <w:rPr>
          <w:b/>
          <w:lang w:val="en-US" w:eastAsia="zh-CN"/>
        </w:rPr>
      </w:pPr>
      <w:r w:rsidRPr="000400CE">
        <w:rPr>
          <w:lang w:val="en-US"/>
        </w:rPr>
        <w:t xml:space="preserve">In this contribution, the following proposals </w:t>
      </w:r>
      <w:r w:rsidR="00C6530A" w:rsidRPr="000400CE">
        <w:rPr>
          <w:lang w:val="en-US"/>
        </w:rPr>
        <w:t>a</w:t>
      </w:r>
      <w:r w:rsidRPr="000400CE">
        <w:rPr>
          <w:lang w:val="en-US"/>
        </w:rPr>
        <w:t>re captured:</w:t>
      </w:r>
      <w:bookmarkEnd w:id="9"/>
      <w:bookmarkEnd w:id="10"/>
      <w:bookmarkEnd w:id="11"/>
      <w:bookmarkEnd w:id="12"/>
    </w:p>
    <w:p w14:paraId="02E6D84D" w14:textId="77777777" w:rsidR="00D46287" w:rsidRDefault="00972E89" w:rsidP="008867DB">
      <w:pPr>
        <w:pStyle w:val="ListParagraph"/>
        <w:numPr>
          <w:ilvl w:val="0"/>
          <w:numId w:val="31"/>
        </w:numPr>
        <w:ind w:left="1701" w:hanging="1701"/>
        <w:jc w:val="both"/>
        <w:rPr>
          <w:b/>
          <w:lang w:val="en-US" w:eastAsia="zh-CN"/>
        </w:rPr>
      </w:pPr>
      <w:r w:rsidRPr="008060FF">
        <w:rPr>
          <w:b/>
          <w:lang w:val="en-US" w:eastAsia="zh-CN"/>
        </w:rPr>
        <w:t>Load definition per cell and SSB coverage area should be supported for MLB in NR</w:t>
      </w:r>
      <w:r>
        <w:rPr>
          <w:b/>
          <w:lang w:val="en-US" w:eastAsia="zh-CN"/>
        </w:rPr>
        <w:t xml:space="preserve">. </w:t>
      </w:r>
    </w:p>
    <w:p w14:paraId="39C3B3E7" w14:textId="6D85D77F" w:rsidR="00972E89" w:rsidRDefault="00972E89" w:rsidP="008867DB">
      <w:pPr>
        <w:pStyle w:val="ListParagraph"/>
        <w:numPr>
          <w:ilvl w:val="0"/>
          <w:numId w:val="31"/>
        </w:numPr>
        <w:ind w:left="1701" w:hanging="1701"/>
        <w:jc w:val="both"/>
        <w:rPr>
          <w:b/>
          <w:lang w:val="en-US" w:eastAsia="zh-CN"/>
        </w:rPr>
      </w:pPr>
      <w:r w:rsidRPr="008060FF">
        <w:rPr>
          <w:b/>
          <w:lang w:val="en-US" w:eastAsia="zh-CN"/>
        </w:rPr>
        <w:t>T</w:t>
      </w:r>
      <w:r w:rsidRPr="00410306">
        <w:rPr>
          <w:b/>
          <w:lang w:val="en-US" w:eastAsia="zh-CN"/>
        </w:rPr>
        <w:t>he discussion of additional load definitions, such as load per slice and per QoS, should be left for further optimization once RAN3 has agreed a basic solution for MLB in NR</w:t>
      </w:r>
      <w:r w:rsidRPr="00914F8E">
        <w:rPr>
          <w:b/>
          <w:lang w:val="en-US" w:eastAsia="zh-CN"/>
        </w:rPr>
        <w:t xml:space="preserve"> </w:t>
      </w:r>
    </w:p>
    <w:p w14:paraId="61039A6A" w14:textId="5FE39700" w:rsidR="00440D8D" w:rsidRPr="00914F8E" w:rsidRDefault="00182ABF" w:rsidP="008867DB">
      <w:pPr>
        <w:pStyle w:val="ListParagraph"/>
        <w:numPr>
          <w:ilvl w:val="0"/>
          <w:numId w:val="31"/>
        </w:numPr>
        <w:ind w:left="1701" w:hanging="1701"/>
        <w:jc w:val="both"/>
        <w:rPr>
          <w:b/>
          <w:lang w:val="en-US" w:eastAsia="zh-CN"/>
        </w:rPr>
      </w:pPr>
      <w:r>
        <w:rPr>
          <w:b/>
          <w:lang w:val="en-US" w:eastAsia="zh-CN"/>
        </w:rPr>
        <w:t>Composite available capacity per SSB beam coverage area should be supported for MLB</w:t>
      </w:r>
      <w:r w:rsidR="00440D8D" w:rsidRPr="00914F8E">
        <w:rPr>
          <w:b/>
          <w:lang w:val="en-US" w:eastAsia="zh-CN"/>
        </w:rPr>
        <w:t>.</w:t>
      </w:r>
    </w:p>
    <w:p w14:paraId="7270A91E" w14:textId="50E40625" w:rsidR="00647AC1" w:rsidRPr="00104E8B" w:rsidRDefault="006C7BF1" w:rsidP="008867DB">
      <w:pPr>
        <w:pStyle w:val="ListParagraph"/>
        <w:numPr>
          <w:ilvl w:val="0"/>
          <w:numId w:val="31"/>
        </w:numPr>
        <w:ind w:left="1701" w:hanging="1701"/>
        <w:jc w:val="both"/>
        <w:rPr>
          <w:b/>
          <w:lang w:val="en-US" w:eastAsia="zh-CN"/>
        </w:rPr>
      </w:pPr>
      <w:r w:rsidRPr="00104E8B">
        <w:rPr>
          <w:b/>
          <w:lang w:val="en-US" w:eastAsia="zh-CN"/>
        </w:rPr>
        <w:t xml:space="preserve">Agree to TP to </w:t>
      </w:r>
      <w:r w:rsidRPr="00104E8B">
        <w:rPr>
          <w:rFonts w:cs="Arial"/>
          <w:b/>
          <w:lang w:val="en-US"/>
        </w:rPr>
        <w:t>TR 37.816</w:t>
      </w:r>
      <w:r w:rsidRPr="00104E8B">
        <w:rPr>
          <w:b/>
          <w:lang w:val="en-US" w:eastAsia="zh-CN"/>
        </w:rPr>
        <w:t xml:space="preserve"> </w:t>
      </w:r>
      <w:r w:rsidRPr="00104E8B">
        <w:rPr>
          <w:rFonts w:cs="Arial"/>
          <w:b/>
          <w:lang w:val="en-US"/>
        </w:rPr>
        <w:t xml:space="preserve">for Load </w:t>
      </w:r>
      <w:r w:rsidR="00104E8B" w:rsidRPr="00104E8B">
        <w:rPr>
          <w:rFonts w:cs="Arial"/>
          <w:b/>
          <w:lang w:val="en-US"/>
        </w:rPr>
        <w:t>Information per SSB beam</w:t>
      </w:r>
      <w:r w:rsidR="00EB4B98">
        <w:rPr>
          <w:rFonts w:cs="Arial"/>
          <w:b/>
          <w:lang w:val="en-US"/>
        </w:rPr>
        <w:t xml:space="preserve"> </w:t>
      </w:r>
      <w:r w:rsidR="00EB4B98">
        <w:rPr>
          <w:rFonts w:cs="Arial"/>
          <w:b/>
          <w:lang w:val="en-US"/>
        </w:rPr>
        <w:fldChar w:fldCharType="begin"/>
      </w:r>
      <w:r w:rsidR="00EB4B98">
        <w:rPr>
          <w:rFonts w:cs="Arial"/>
          <w:b/>
          <w:lang w:val="en-US"/>
        </w:rPr>
        <w:instrText xml:space="preserve"> REF _Ref7426263 \r \h </w:instrText>
      </w:r>
      <w:r w:rsidR="00EB4B98">
        <w:rPr>
          <w:rFonts w:cs="Arial"/>
          <w:b/>
          <w:lang w:val="en-US"/>
        </w:rPr>
      </w:r>
      <w:r w:rsidR="00EB4B98">
        <w:rPr>
          <w:rFonts w:cs="Arial"/>
          <w:b/>
          <w:lang w:val="en-US"/>
        </w:rPr>
        <w:fldChar w:fldCharType="separate"/>
      </w:r>
      <w:r w:rsidR="00EB4B98">
        <w:rPr>
          <w:rFonts w:cs="Arial"/>
          <w:b/>
          <w:lang w:val="en-US"/>
        </w:rPr>
        <w:t>[5]</w:t>
      </w:r>
      <w:r w:rsidR="00EB4B98">
        <w:rPr>
          <w:rFonts w:cs="Arial"/>
          <w:b/>
          <w:lang w:val="en-US"/>
        </w:rPr>
        <w:fldChar w:fldCharType="end"/>
      </w:r>
      <w:r w:rsidRPr="00104E8B">
        <w:rPr>
          <w:rFonts w:cs="Arial"/>
          <w:b/>
          <w:lang w:val="en-US"/>
        </w:rPr>
        <w:t xml:space="preserve">. </w:t>
      </w:r>
      <w:r w:rsidR="00BA00E8">
        <w:rPr>
          <w:b/>
          <w:sz w:val="20"/>
          <w:szCs w:val="20"/>
          <w:lang w:val="fi-FI"/>
        </w:rPr>
        <w:fldChar w:fldCharType="begin"/>
      </w:r>
      <w:r w:rsidR="00BA00E8" w:rsidRPr="00104E8B">
        <w:rPr>
          <w:b/>
          <w:lang w:val="en-US"/>
        </w:rPr>
        <w:instrText xml:space="preserve"> TOC \f \n \t "Proposal;1" </w:instrText>
      </w:r>
      <w:r w:rsidR="00BA00E8">
        <w:rPr>
          <w:b/>
          <w:sz w:val="20"/>
          <w:szCs w:val="20"/>
          <w:lang w:val="fi-FI"/>
        </w:rPr>
        <w:fldChar w:fldCharType="separate"/>
      </w:r>
    </w:p>
    <w:p w14:paraId="6C9E5AD2" w14:textId="709F7BAB" w:rsidR="003A7EF3" w:rsidRDefault="00BA00E8" w:rsidP="008867DB">
      <w:pPr>
        <w:pStyle w:val="Heading1"/>
        <w:numPr>
          <w:ilvl w:val="0"/>
          <w:numId w:val="0"/>
        </w:numPr>
        <w:ind w:left="1701" w:hanging="1701"/>
        <w:jc w:val="both"/>
        <w:rPr>
          <w:b/>
          <w:lang w:val="en-US"/>
        </w:rPr>
      </w:pPr>
      <w:r>
        <w:rPr>
          <w:b/>
          <w:lang w:val="en-US"/>
        </w:rPr>
        <w:fldChar w:fldCharType="end"/>
      </w:r>
      <w:bookmarkEnd w:id="13"/>
    </w:p>
    <w:p w14:paraId="2301FF3F" w14:textId="77777777" w:rsidR="00355AEB" w:rsidRPr="00CE0424" w:rsidRDefault="00355AEB" w:rsidP="00355AEB">
      <w:pPr>
        <w:pStyle w:val="Heading1"/>
        <w:jc w:val="both"/>
      </w:pPr>
      <w:r>
        <w:t>References</w:t>
      </w:r>
    </w:p>
    <w:p w14:paraId="351A25DC" w14:textId="47BE68A0" w:rsidR="00BA2524" w:rsidRPr="000E6D46" w:rsidRDefault="00BA2524" w:rsidP="00355AEB">
      <w:pPr>
        <w:pStyle w:val="ListParagraph"/>
        <w:numPr>
          <w:ilvl w:val="0"/>
          <w:numId w:val="30"/>
        </w:numPr>
        <w:jc w:val="both"/>
        <w:rPr>
          <w:lang w:val="fi-FI"/>
        </w:rPr>
      </w:pPr>
      <w:bookmarkStart w:id="14" w:name="_Ref7426017"/>
      <w:bookmarkStart w:id="15" w:name="_Ref4155834"/>
      <w:bookmarkStart w:id="16" w:name="_Ref536695849"/>
      <w:bookmarkStart w:id="17" w:name="_Ref468028"/>
      <w:r w:rsidRPr="000E6D46">
        <w:rPr>
          <w:lang w:val="en-US"/>
        </w:rPr>
        <w:t>R3-19</w:t>
      </w:r>
      <w:r w:rsidR="00602A5E" w:rsidRPr="000E6D46">
        <w:rPr>
          <w:lang w:val="en-US"/>
        </w:rPr>
        <w:t>2131</w:t>
      </w:r>
      <w:proofErr w:type="gramStart"/>
      <w:r w:rsidR="00602A5E" w:rsidRPr="000E6D46">
        <w:rPr>
          <w:lang w:val="en-US"/>
        </w:rPr>
        <w:t>, ”Summary</w:t>
      </w:r>
      <w:proofErr w:type="gramEnd"/>
      <w:r w:rsidR="00602A5E" w:rsidRPr="000E6D46">
        <w:rPr>
          <w:lang w:val="en-US"/>
        </w:rPr>
        <w:t xml:space="preserve"> of offline discussion on MLB”</w:t>
      </w:r>
      <w:r w:rsidR="00EE333D" w:rsidRPr="000E6D46">
        <w:rPr>
          <w:lang w:val="en-US"/>
        </w:rPr>
        <w:t>,</w:t>
      </w:r>
      <w:r w:rsidRPr="000E6D46">
        <w:rPr>
          <w:lang w:val="en-US"/>
        </w:rPr>
        <w:t xml:space="preserve"> </w:t>
      </w:r>
      <w:r w:rsidRPr="000E6D46">
        <w:rPr>
          <w:szCs w:val="24"/>
          <w:lang w:val="en-US"/>
        </w:rPr>
        <w:t>3GPP TSG-RAN WG3</w:t>
      </w:r>
      <w:r w:rsidRPr="000E6D46">
        <w:rPr>
          <w:noProof/>
          <w:szCs w:val="24"/>
          <w:lang w:val="en-US"/>
        </w:rPr>
        <w:t xml:space="preserve"> #10</w:t>
      </w:r>
      <w:r w:rsidR="00EE333D" w:rsidRPr="000E6D46">
        <w:rPr>
          <w:noProof/>
          <w:szCs w:val="24"/>
          <w:lang w:val="en-US"/>
        </w:rPr>
        <w:t>3bis</w:t>
      </w:r>
      <w:r w:rsidRPr="000E6D46">
        <w:rPr>
          <w:noProof/>
          <w:szCs w:val="24"/>
          <w:lang w:val="en-US"/>
        </w:rPr>
        <w:t xml:space="preserve">, reno, Nevada, US, </w:t>
      </w:r>
      <w:r w:rsidRPr="000E6D46">
        <w:rPr>
          <w:lang w:val="en-US"/>
        </w:rPr>
        <w:t xml:space="preserve"> </w:t>
      </w:r>
      <w:r w:rsidR="00FC6911" w:rsidRPr="00FC6911">
        <w:rPr>
          <w:lang w:val="en-US"/>
        </w:rPr>
        <w:t>Xi’an, China, 8-12 April 2019.</w:t>
      </w:r>
      <w:bookmarkEnd w:id="14"/>
    </w:p>
    <w:p w14:paraId="04CB485B" w14:textId="781E150A" w:rsidR="001D5804" w:rsidRPr="007A4097" w:rsidRDefault="001D5804" w:rsidP="00355AEB">
      <w:pPr>
        <w:pStyle w:val="ListParagraph"/>
        <w:numPr>
          <w:ilvl w:val="0"/>
          <w:numId w:val="30"/>
        </w:numPr>
        <w:jc w:val="both"/>
        <w:rPr>
          <w:lang w:val="fi-FI"/>
        </w:rPr>
      </w:pPr>
      <w:bookmarkStart w:id="18" w:name="_Ref7426293"/>
      <w:r w:rsidRPr="007A4097">
        <w:rPr>
          <w:lang w:val="fi-FI"/>
        </w:rPr>
        <w:t xml:space="preserve">3GPP TS </w:t>
      </w:r>
      <w:r w:rsidR="007D2DAC" w:rsidRPr="007A4097">
        <w:rPr>
          <w:lang w:val="en-US" w:eastAsia="zh-CN"/>
        </w:rPr>
        <w:t>32.522 “</w:t>
      </w:r>
      <w:r w:rsidR="0029733D" w:rsidRPr="007A4097">
        <w:rPr>
          <w:lang w:val="fi-FI"/>
        </w:rPr>
        <w:t>3rd Generation Partnership Project; Technical Specification Group Services and System Aspects; Telecommunication management; Self-Organizing Networks (SON) Policy Network Resource Model (NRM) Integration Reference Point (IRP); Information Service (IS)</w:t>
      </w:r>
      <w:r w:rsidR="002874C0" w:rsidRPr="007A4097">
        <w:rPr>
          <w:lang w:val="fi-FI"/>
        </w:rPr>
        <w:t>”</w:t>
      </w:r>
      <w:r w:rsidRPr="007A4097">
        <w:rPr>
          <w:lang w:val="fi-FI"/>
        </w:rPr>
        <w:t xml:space="preserve">, </w:t>
      </w:r>
      <w:r w:rsidR="00D51A58" w:rsidRPr="007A4097">
        <w:rPr>
          <w:lang w:val="fi-FI"/>
        </w:rPr>
        <w:t>September</w:t>
      </w:r>
      <w:r w:rsidRPr="007A4097">
        <w:rPr>
          <w:lang w:val="fi-FI"/>
        </w:rPr>
        <w:t xml:space="preserve"> 201</w:t>
      </w:r>
      <w:r w:rsidR="00D51A58" w:rsidRPr="007A4097">
        <w:rPr>
          <w:lang w:val="fi-FI"/>
        </w:rPr>
        <w:t>3</w:t>
      </w:r>
      <w:r w:rsidRPr="007A4097">
        <w:rPr>
          <w:lang w:val="fi-FI"/>
        </w:rPr>
        <w:t>.</w:t>
      </w:r>
      <w:bookmarkEnd w:id="15"/>
      <w:bookmarkEnd w:id="18"/>
    </w:p>
    <w:p w14:paraId="7AC25B37" w14:textId="43B6340D" w:rsidR="00113ABC" w:rsidRPr="007A4097" w:rsidRDefault="00113ABC" w:rsidP="00F53665">
      <w:pPr>
        <w:pStyle w:val="ListParagraph"/>
        <w:numPr>
          <w:ilvl w:val="0"/>
          <w:numId w:val="30"/>
        </w:numPr>
        <w:jc w:val="both"/>
        <w:rPr>
          <w:lang w:val="fi-FI"/>
        </w:rPr>
      </w:pPr>
      <w:bookmarkStart w:id="19" w:name="_Ref792131"/>
      <w:bookmarkStart w:id="20" w:name="_Ref7008066"/>
      <w:r w:rsidRPr="007A4097">
        <w:rPr>
          <w:lang w:val="fi-FI"/>
        </w:rPr>
        <w:t>3GPP TS 3</w:t>
      </w:r>
      <w:r w:rsidR="00CC132B" w:rsidRPr="007A4097">
        <w:rPr>
          <w:lang w:val="fi-FI"/>
        </w:rPr>
        <w:t>6</w:t>
      </w:r>
      <w:r w:rsidRPr="007A4097">
        <w:rPr>
          <w:lang w:val="fi-FI"/>
        </w:rPr>
        <w:t>.331 ”</w:t>
      </w:r>
      <w:r w:rsidR="00F53665" w:rsidRPr="007A4097">
        <w:rPr>
          <w:lang w:val="en-US"/>
        </w:rPr>
        <w:t xml:space="preserve"> </w:t>
      </w:r>
      <w:r w:rsidR="00F53665" w:rsidRPr="007A4097">
        <w:rPr>
          <w:lang w:val="fi-FI"/>
        </w:rPr>
        <w:t>Technical Specification Group Radio Access Network; Evolved Universal Terrestrial Radio Access (E-UTRA); Radio Resource Control (RRC); Protocol specification</w:t>
      </w:r>
      <w:r w:rsidR="007A4097" w:rsidRPr="007A4097">
        <w:rPr>
          <w:lang w:val="fi-FI"/>
        </w:rPr>
        <w:t xml:space="preserve"> (Release 15)</w:t>
      </w:r>
      <w:r w:rsidRPr="007A4097">
        <w:rPr>
          <w:lang w:val="fi-FI"/>
        </w:rPr>
        <w:t>”, Sept. 2018</w:t>
      </w:r>
      <w:bookmarkEnd w:id="19"/>
      <w:r w:rsidRPr="007A4097">
        <w:rPr>
          <w:lang w:val="fi-FI"/>
        </w:rPr>
        <w:t>.</w:t>
      </w:r>
      <w:bookmarkStart w:id="21" w:name="_GoBack"/>
      <w:bookmarkEnd w:id="20"/>
      <w:bookmarkEnd w:id="21"/>
    </w:p>
    <w:p w14:paraId="24C3D955" w14:textId="01FBB8BE" w:rsidR="00267814" w:rsidRDefault="00355AEB" w:rsidP="00355AEB">
      <w:pPr>
        <w:pStyle w:val="ListParagraph"/>
        <w:numPr>
          <w:ilvl w:val="0"/>
          <w:numId w:val="30"/>
        </w:numPr>
        <w:jc w:val="both"/>
        <w:rPr>
          <w:lang w:val="fi-FI"/>
        </w:rPr>
      </w:pPr>
      <w:bookmarkStart w:id="22" w:name="_Ref4155863"/>
      <w:r w:rsidRPr="007A4097">
        <w:rPr>
          <w:lang w:val="fi-FI"/>
        </w:rPr>
        <w:t>3GPP TS 36.423</w:t>
      </w:r>
      <w:r w:rsidR="002874C0" w:rsidRPr="007A4097">
        <w:rPr>
          <w:lang w:val="en-US" w:eastAsia="zh-CN"/>
        </w:rPr>
        <w:t>“</w:t>
      </w:r>
      <w:r w:rsidRPr="007A4097">
        <w:rPr>
          <w:lang w:val="fi-FI"/>
        </w:rPr>
        <w:t xml:space="preserve"> Technical Specification Group Radio Access Network; Evolved Universal Terrestrial Radio Access (E-UTRA) and Evolved Universal Terrestrial Radio Access Network (E-UTRAN); X2 Application Protocol (X2AP) (Release 15)”, Sept. 2018</w:t>
      </w:r>
      <w:bookmarkEnd w:id="16"/>
      <w:r w:rsidRPr="007A4097">
        <w:rPr>
          <w:lang w:val="fi-FI"/>
        </w:rPr>
        <w:t>.</w:t>
      </w:r>
      <w:bookmarkEnd w:id="17"/>
      <w:bookmarkEnd w:id="22"/>
    </w:p>
    <w:p w14:paraId="30EB13DC" w14:textId="0AE424D1" w:rsidR="00906A06" w:rsidRPr="00A247DB" w:rsidRDefault="00EB4B98" w:rsidP="00355AEB">
      <w:pPr>
        <w:pStyle w:val="ListParagraph"/>
        <w:numPr>
          <w:ilvl w:val="0"/>
          <w:numId w:val="30"/>
        </w:numPr>
        <w:jc w:val="both"/>
        <w:rPr>
          <w:lang w:val="fi-FI"/>
        </w:rPr>
      </w:pPr>
      <w:bookmarkStart w:id="23" w:name="_Ref7426263"/>
      <w:bookmarkStart w:id="24" w:name="_Ref7427728"/>
      <w:r w:rsidRPr="00A247DB">
        <w:rPr>
          <w:lang w:val="en-US"/>
        </w:rPr>
        <w:t>R3-19</w:t>
      </w:r>
      <w:r w:rsidR="00A247DB" w:rsidRPr="00A247DB">
        <w:rPr>
          <w:lang w:val="en-US"/>
        </w:rPr>
        <w:t>3065</w:t>
      </w:r>
      <w:r w:rsidRPr="00A247DB">
        <w:rPr>
          <w:lang w:val="en-US"/>
        </w:rPr>
        <w:t xml:space="preserve">, TP to TR 37.816 on Load information per SSB beam, </w:t>
      </w:r>
      <w:r w:rsidRPr="00A247DB">
        <w:rPr>
          <w:szCs w:val="24"/>
          <w:lang w:val="en-US"/>
        </w:rPr>
        <w:t>3GPP TSG-RAN WG3</w:t>
      </w:r>
      <w:r w:rsidRPr="00A247DB">
        <w:rPr>
          <w:noProof/>
          <w:szCs w:val="24"/>
          <w:lang w:val="en-US"/>
        </w:rPr>
        <w:t xml:space="preserve"> #104, reno, Nevada, </w:t>
      </w:r>
      <w:proofErr w:type="gramStart"/>
      <w:r w:rsidRPr="00A247DB">
        <w:rPr>
          <w:noProof/>
          <w:szCs w:val="24"/>
          <w:lang w:val="en-US"/>
        </w:rPr>
        <w:t xml:space="preserve">US, </w:t>
      </w:r>
      <w:r w:rsidRPr="00A247DB">
        <w:rPr>
          <w:lang w:val="en-US"/>
        </w:rPr>
        <w:t xml:space="preserve"> 13</w:t>
      </w:r>
      <w:proofErr w:type="gramEnd"/>
      <w:r w:rsidRPr="00A247DB">
        <w:rPr>
          <w:vertAlign w:val="superscript"/>
          <w:lang w:val="en-US"/>
        </w:rPr>
        <w:t>th</w:t>
      </w:r>
      <w:r w:rsidRPr="00A247DB">
        <w:rPr>
          <w:lang w:val="en-US"/>
        </w:rPr>
        <w:t xml:space="preserve"> May – 17</w:t>
      </w:r>
      <w:r w:rsidRPr="00A247DB">
        <w:rPr>
          <w:vertAlign w:val="superscript"/>
          <w:lang w:val="en-US"/>
        </w:rPr>
        <w:t>th</w:t>
      </w:r>
      <w:r w:rsidRPr="00A247DB">
        <w:rPr>
          <w:lang w:val="en-US"/>
        </w:rPr>
        <w:t xml:space="preserve"> May 2019</w:t>
      </w:r>
      <w:bookmarkEnd w:id="23"/>
      <w:r w:rsidR="002C7E29" w:rsidRPr="00A247DB">
        <w:rPr>
          <w:lang w:val="en-US"/>
        </w:rPr>
        <w:t>.</w:t>
      </w:r>
      <w:bookmarkEnd w:id="24"/>
    </w:p>
    <w:p w14:paraId="31584955" w14:textId="633E466D" w:rsidR="00355AEB" w:rsidRPr="00355AEB" w:rsidRDefault="00355AEB">
      <w:pPr>
        <w:rPr>
          <w:lang w:val="en-US" w:eastAsia="zh-CN"/>
        </w:rPr>
      </w:pPr>
    </w:p>
    <w:sectPr w:rsidR="00355AEB" w:rsidRPr="00355AE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82566" w14:textId="77777777" w:rsidR="000175A1" w:rsidRDefault="000175A1">
      <w:r>
        <w:separator/>
      </w:r>
    </w:p>
  </w:endnote>
  <w:endnote w:type="continuationSeparator" w:id="0">
    <w:p w14:paraId="63D45D34" w14:textId="77777777" w:rsidR="000175A1" w:rsidRDefault="0001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228F0" w14:textId="77777777" w:rsidR="000175A1" w:rsidRDefault="000175A1">
      <w:r>
        <w:separator/>
      </w:r>
    </w:p>
  </w:footnote>
  <w:footnote w:type="continuationSeparator" w:id="0">
    <w:p w14:paraId="7E4B03B2" w14:textId="77777777" w:rsidR="000175A1" w:rsidRDefault="00017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6B75AE"/>
    <w:multiLevelType w:val="hybridMultilevel"/>
    <w:tmpl w:val="F814A2C0"/>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3251A89"/>
    <w:multiLevelType w:val="hybridMultilevel"/>
    <w:tmpl w:val="EE38726A"/>
    <w:lvl w:ilvl="0" w:tplc="B2BAFFEE">
      <w:start w:val="1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D4F79EF"/>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961BD3"/>
    <w:multiLevelType w:val="hybridMultilevel"/>
    <w:tmpl w:val="6194F89E"/>
    <w:lvl w:ilvl="0" w:tplc="C08EB378">
      <w:start w:val="1"/>
      <w:numFmt w:val="decimal"/>
      <w:lvlText w:val="Observation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7439DB"/>
    <w:multiLevelType w:val="hybridMultilevel"/>
    <w:tmpl w:val="6194F89E"/>
    <w:lvl w:ilvl="0" w:tplc="C08EB378">
      <w:start w:val="1"/>
      <w:numFmt w:val="decimal"/>
      <w:lvlText w:val="Observation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747F45"/>
    <w:multiLevelType w:val="hybridMultilevel"/>
    <w:tmpl w:val="0602DA20"/>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942635D"/>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28"/>
  </w:num>
  <w:num w:numId="3">
    <w:abstractNumId w:val="20"/>
  </w:num>
  <w:num w:numId="4">
    <w:abstractNumId w:val="22"/>
  </w:num>
  <w:num w:numId="5">
    <w:abstractNumId w:val="18"/>
  </w:num>
  <w:num w:numId="6">
    <w:abstractNumId w:val="24"/>
  </w:num>
  <w:num w:numId="7">
    <w:abstractNumId w:val="31"/>
  </w:num>
  <w:num w:numId="8">
    <w:abstractNumId w:val="19"/>
  </w:num>
  <w:num w:numId="9">
    <w:abstractNumId w:val="13"/>
  </w:num>
  <w:num w:numId="10">
    <w:abstractNumId w:val="3"/>
  </w:num>
  <w:num w:numId="11">
    <w:abstractNumId w:val="2"/>
  </w:num>
  <w:num w:numId="12">
    <w:abstractNumId w:val="1"/>
  </w:num>
  <w:num w:numId="13">
    <w:abstractNumId w:val="29"/>
  </w:num>
  <w:num w:numId="14">
    <w:abstractNumId w:val="0"/>
  </w:num>
  <w:num w:numId="15">
    <w:abstractNumId w:val="34"/>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9"/>
    <w:lvlOverride w:ilvl="0">
      <w:startOverride w:val="1"/>
    </w:lvlOverride>
  </w:num>
  <w:num w:numId="19">
    <w:abstractNumId w:val="32"/>
  </w:num>
  <w:num w:numId="20">
    <w:abstractNumId w:val="8"/>
  </w:num>
  <w:num w:numId="21">
    <w:abstractNumId w:val="11"/>
  </w:num>
  <w:num w:numId="22">
    <w:abstractNumId w:val="38"/>
  </w:num>
  <w:num w:numId="23">
    <w:abstractNumId w:val="16"/>
  </w:num>
  <w:num w:numId="24">
    <w:abstractNumId w:val="25"/>
  </w:num>
  <w:num w:numId="25">
    <w:abstractNumId w:val="30"/>
  </w:num>
  <w:num w:numId="26">
    <w:abstractNumId w:val="26"/>
  </w:num>
  <w:num w:numId="27">
    <w:abstractNumId w:val="14"/>
  </w:num>
  <w:num w:numId="28">
    <w:abstractNumId w:val="35"/>
  </w:num>
  <w:num w:numId="29">
    <w:abstractNumId w:val="12"/>
  </w:num>
  <w:num w:numId="30">
    <w:abstractNumId w:val="37"/>
  </w:num>
  <w:num w:numId="31">
    <w:abstractNumId w:val="9"/>
  </w:num>
  <w:num w:numId="32">
    <w:abstractNumId w:val="27"/>
  </w:num>
  <w:num w:numId="33">
    <w:abstractNumId w:val="17"/>
  </w:num>
  <w:num w:numId="34">
    <w:abstractNumId w:val="36"/>
  </w:num>
  <w:num w:numId="35">
    <w:abstractNumId w:val="15"/>
  </w:num>
  <w:num w:numId="36">
    <w:abstractNumId w:val="10"/>
  </w:num>
  <w:num w:numId="37">
    <w:abstractNumId w:val="6"/>
  </w:num>
  <w:num w:numId="38">
    <w:abstractNumId w:val="33"/>
  </w:num>
  <w:num w:numId="39">
    <w:abstractNumId w:val="23"/>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480"/>
    <w:rsid w:val="000036E5"/>
    <w:rsid w:val="00003814"/>
    <w:rsid w:val="000039F4"/>
    <w:rsid w:val="00003F02"/>
    <w:rsid w:val="00004A23"/>
    <w:rsid w:val="000053C8"/>
    <w:rsid w:val="00005502"/>
    <w:rsid w:val="00006446"/>
    <w:rsid w:val="00006896"/>
    <w:rsid w:val="00006939"/>
    <w:rsid w:val="00007CDC"/>
    <w:rsid w:val="00011B28"/>
    <w:rsid w:val="0001354C"/>
    <w:rsid w:val="000156DC"/>
    <w:rsid w:val="00015D15"/>
    <w:rsid w:val="000175A1"/>
    <w:rsid w:val="00023AEB"/>
    <w:rsid w:val="000241FA"/>
    <w:rsid w:val="000245B9"/>
    <w:rsid w:val="0002564D"/>
    <w:rsid w:val="00025AA6"/>
    <w:rsid w:val="00025ECA"/>
    <w:rsid w:val="000274D7"/>
    <w:rsid w:val="000325B8"/>
    <w:rsid w:val="00034C15"/>
    <w:rsid w:val="00036BA1"/>
    <w:rsid w:val="000400CE"/>
    <w:rsid w:val="00041789"/>
    <w:rsid w:val="000422E2"/>
    <w:rsid w:val="00042F22"/>
    <w:rsid w:val="000444EF"/>
    <w:rsid w:val="0004596F"/>
    <w:rsid w:val="00045EB3"/>
    <w:rsid w:val="00050AEB"/>
    <w:rsid w:val="00052A07"/>
    <w:rsid w:val="000534E3"/>
    <w:rsid w:val="00054C6F"/>
    <w:rsid w:val="0005606A"/>
    <w:rsid w:val="00056E09"/>
    <w:rsid w:val="00057117"/>
    <w:rsid w:val="000600AB"/>
    <w:rsid w:val="000608C7"/>
    <w:rsid w:val="000615A2"/>
    <w:rsid w:val="000616E7"/>
    <w:rsid w:val="00061BFE"/>
    <w:rsid w:val="000640C5"/>
    <w:rsid w:val="0006487E"/>
    <w:rsid w:val="00065E1A"/>
    <w:rsid w:val="000717ED"/>
    <w:rsid w:val="000749BC"/>
    <w:rsid w:val="00074D86"/>
    <w:rsid w:val="000757F4"/>
    <w:rsid w:val="00077653"/>
    <w:rsid w:val="00077E5F"/>
    <w:rsid w:val="0008036A"/>
    <w:rsid w:val="00081AE6"/>
    <w:rsid w:val="0008320E"/>
    <w:rsid w:val="000855EB"/>
    <w:rsid w:val="00085B52"/>
    <w:rsid w:val="0008603E"/>
    <w:rsid w:val="000866F2"/>
    <w:rsid w:val="0009009F"/>
    <w:rsid w:val="00091557"/>
    <w:rsid w:val="000924C1"/>
    <w:rsid w:val="000924F0"/>
    <w:rsid w:val="00093474"/>
    <w:rsid w:val="0009510F"/>
    <w:rsid w:val="00097DC4"/>
    <w:rsid w:val="000A0871"/>
    <w:rsid w:val="000A105F"/>
    <w:rsid w:val="000A1B7B"/>
    <w:rsid w:val="000A3459"/>
    <w:rsid w:val="000A56F2"/>
    <w:rsid w:val="000B1DAA"/>
    <w:rsid w:val="000B2552"/>
    <w:rsid w:val="000B2719"/>
    <w:rsid w:val="000B3A8F"/>
    <w:rsid w:val="000B4AB9"/>
    <w:rsid w:val="000B58C3"/>
    <w:rsid w:val="000B61E9"/>
    <w:rsid w:val="000B640B"/>
    <w:rsid w:val="000C1010"/>
    <w:rsid w:val="000C165A"/>
    <w:rsid w:val="000C211C"/>
    <w:rsid w:val="000C2E19"/>
    <w:rsid w:val="000C58A0"/>
    <w:rsid w:val="000D0D07"/>
    <w:rsid w:val="000D0F12"/>
    <w:rsid w:val="000D4797"/>
    <w:rsid w:val="000D548F"/>
    <w:rsid w:val="000D796E"/>
    <w:rsid w:val="000E04C6"/>
    <w:rsid w:val="000E0527"/>
    <w:rsid w:val="000E0FEC"/>
    <w:rsid w:val="000E1D0E"/>
    <w:rsid w:val="000E1E92"/>
    <w:rsid w:val="000E40DF"/>
    <w:rsid w:val="000E65B9"/>
    <w:rsid w:val="000E6D46"/>
    <w:rsid w:val="000E73BD"/>
    <w:rsid w:val="000E73D0"/>
    <w:rsid w:val="000F06D6"/>
    <w:rsid w:val="000F0EB1"/>
    <w:rsid w:val="000F1106"/>
    <w:rsid w:val="000F347B"/>
    <w:rsid w:val="000F3BE9"/>
    <w:rsid w:val="000F3E10"/>
    <w:rsid w:val="000F3F6C"/>
    <w:rsid w:val="000F64C0"/>
    <w:rsid w:val="000F6848"/>
    <w:rsid w:val="000F6DF3"/>
    <w:rsid w:val="001005FF"/>
    <w:rsid w:val="00101282"/>
    <w:rsid w:val="0010234E"/>
    <w:rsid w:val="00102DAE"/>
    <w:rsid w:val="00103611"/>
    <w:rsid w:val="00104755"/>
    <w:rsid w:val="00104E8B"/>
    <w:rsid w:val="00105CC7"/>
    <w:rsid w:val="001062FB"/>
    <w:rsid w:val="001063E6"/>
    <w:rsid w:val="00106FDA"/>
    <w:rsid w:val="00107D67"/>
    <w:rsid w:val="00111CD8"/>
    <w:rsid w:val="00112F24"/>
    <w:rsid w:val="0011387E"/>
    <w:rsid w:val="00113ABC"/>
    <w:rsid w:val="00113CF4"/>
    <w:rsid w:val="001153EA"/>
    <w:rsid w:val="00115643"/>
    <w:rsid w:val="00116765"/>
    <w:rsid w:val="001219F5"/>
    <w:rsid w:val="00121A20"/>
    <w:rsid w:val="0012377F"/>
    <w:rsid w:val="00124314"/>
    <w:rsid w:val="00126B4A"/>
    <w:rsid w:val="0012729E"/>
    <w:rsid w:val="00127B56"/>
    <w:rsid w:val="001315F7"/>
    <w:rsid w:val="00132D42"/>
    <w:rsid w:val="00132FD0"/>
    <w:rsid w:val="00133283"/>
    <w:rsid w:val="00133D6C"/>
    <w:rsid w:val="001344C0"/>
    <w:rsid w:val="001346FA"/>
    <w:rsid w:val="00135252"/>
    <w:rsid w:val="001373C0"/>
    <w:rsid w:val="00137AB5"/>
    <w:rsid w:val="00137F0B"/>
    <w:rsid w:val="001412DC"/>
    <w:rsid w:val="00150CC3"/>
    <w:rsid w:val="00151E23"/>
    <w:rsid w:val="001526E0"/>
    <w:rsid w:val="001551B5"/>
    <w:rsid w:val="00160030"/>
    <w:rsid w:val="0016255C"/>
    <w:rsid w:val="001659C1"/>
    <w:rsid w:val="00165D02"/>
    <w:rsid w:val="00170FC0"/>
    <w:rsid w:val="00170FFA"/>
    <w:rsid w:val="00171C37"/>
    <w:rsid w:val="00172E2D"/>
    <w:rsid w:val="00173A8E"/>
    <w:rsid w:val="00174E33"/>
    <w:rsid w:val="00175948"/>
    <w:rsid w:val="00175BDF"/>
    <w:rsid w:val="00177470"/>
    <w:rsid w:val="00177795"/>
    <w:rsid w:val="00177806"/>
    <w:rsid w:val="00180095"/>
    <w:rsid w:val="00180098"/>
    <w:rsid w:val="001810F7"/>
    <w:rsid w:val="0018143F"/>
    <w:rsid w:val="00182ABF"/>
    <w:rsid w:val="00182D40"/>
    <w:rsid w:val="001846DB"/>
    <w:rsid w:val="00187207"/>
    <w:rsid w:val="00187BE6"/>
    <w:rsid w:val="001907DB"/>
    <w:rsid w:val="00190AC1"/>
    <w:rsid w:val="00191922"/>
    <w:rsid w:val="0019341A"/>
    <w:rsid w:val="001938AE"/>
    <w:rsid w:val="00194CF0"/>
    <w:rsid w:val="00195055"/>
    <w:rsid w:val="00195D27"/>
    <w:rsid w:val="001978B0"/>
    <w:rsid w:val="001978DD"/>
    <w:rsid w:val="00197DF9"/>
    <w:rsid w:val="001A1987"/>
    <w:rsid w:val="001A2564"/>
    <w:rsid w:val="001A4C63"/>
    <w:rsid w:val="001A6173"/>
    <w:rsid w:val="001A6CBA"/>
    <w:rsid w:val="001B0D97"/>
    <w:rsid w:val="001B207A"/>
    <w:rsid w:val="001B3063"/>
    <w:rsid w:val="001B5A5D"/>
    <w:rsid w:val="001B76C1"/>
    <w:rsid w:val="001B7FEA"/>
    <w:rsid w:val="001C0495"/>
    <w:rsid w:val="001C1CE5"/>
    <w:rsid w:val="001C3D2A"/>
    <w:rsid w:val="001C40ED"/>
    <w:rsid w:val="001C5ECC"/>
    <w:rsid w:val="001C7608"/>
    <w:rsid w:val="001C7BC9"/>
    <w:rsid w:val="001D0C42"/>
    <w:rsid w:val="001D0CDC"/>
    <w:rsid w:val="001D335D"/>
    <w:rsid w:val="001D51BA"/>
    <w:rsid w:val="001D55A9"/>
    <w:rsid w:val="001D5804"/>
    <w:rsid w:val="001D6342"/>
    <w:rsid w:val="001D6D53"/>
    <w:rsid w:val="001E0264"/>
    <w:rsid w:val="001E3385"/>
    <w:rsid w:val="001E52CC"/>
    <w:rsid w:val="001E58E2"/>
    <w:rsid w:val="001E7742"/>
    <w:rsid w:val="001E7957"/>
    <w:rsid w:val="001E7AED"/>
    <w:rsid w:val="001F0A4D"/>
    <w:rsid w:val="001F10F6"/>
    <w:rsid w:val="001F3916"/>
    <w:rsid w:val="001F54C5"/>
    <w:rsid w:val="001F662C"/>
    <w:rsid w:val="001F67D3"/>
    <w:rsid w:val="001F7074"/>
    <w:rsid w:val="001F7F2E"/>
    <w:rsid w:val="00200490"/>
    <w:rsid w:val="00201F3A"/>
    <w:rsid w:val="0020240C"/>
    <w:rsid w:val="00203F96"/>
    <w:rsid w:val="002040D8"/>
    <w:rsid w:val="002069B2"/>
    <w:rsid w:val="00206BE3"/>
    <w:rsid w:val="00206E23"/>
    <w:rsid w:val="002072FD"/>
    <w:rsid w:val="00207FA3"/>
    <w:rsid w:val="00210776"/>
    <w:rsid w:val="00211428"/>
    <w:rsid w:val="00212611"/>
    <w:rsid w:val="00212BA9"/>
    <w:rsid w:val="0021441C"/>
    <w:rsid w:val="00214DA8"/>
    <w:rsid w:val="00215423"/>
    <w:rsid w:val="002158FA"/>
    <w:rsid w:val="0021605D"/>
    <w:rsid w:val="0021608A"/>
    <w:rsid w:val="002167EA"/>
    <w:rsid w:val="00220600"/>
    <w:rsid w:val="002207BC"/>
    <w:rsid w:val="00221579"/>
    <w:rsid w:val="002224DB"/>
    <w:rsid w:val="00223FCB"/>
    <w:rsid w:val="00224E65"/>
    <w:rsid w:val="00224E93"/>
    <w:rsid w:val="002252C3"/>
    <w:rsid w:val="0022576E"/>
    <w:rsid w:val="00225C54"/>
    <w:rsid w:val="00226063"/>
    <w:rsid w:val="00227DA4"/>
    <w:rsid w:val="002302F7"/>
    <w:rsid w:val="00230765"/>
    <w:rsid w:val="002308F8"/>
    <w:rsid w:val="00230BCB"/>
    <w:rsid w:val="00230C68"/>
    <w:rsid w:val="00230C86"/>
    <w:rsid w:val="0023168C"/>
    <w:rsid w:val="002319E4"/>
    <w:rsid w:val="00232349"/>
    <w:rsid w:val="00232FEE"/>
    <w:rsid w:val="00233025"/>
    <w:rsid w:val="00235632"/>
    <w:rsid w:val="002357E0"/>
    <w:rsid w:val="00235872"/>
    <w:rsid w:val="00241559"/>
    <w:rsid w:val="002435B3"/>
    <w:rsid w:val="002458EB"/>
    <w:rsid w:val="00246935"/>
    <w:rsid w:val="00247993"/>
    <w:rsid w:val="002500C8"/>
    <w:rsid w:val="002541A5"/>
    <w:rsid w:val="00256302"/>
    <w:rsid w:val="00256492"/>
    <w:rsid w:val="00257543"/>
    <w:rsid w:val="00260C58"/>
    <w:rsid w:val="002617E7"/>
    <w:rsid w:val="00264228"/>
    <w:rsid w:val="00264334"/>
    <w:rsid w:val="0026473E"/>
    <w:rsid w:val="00266214"/>
    <w:rsid w:val="0026752B"/>
    <w:rsid w:val="00267814"/>
    <w:rsid w:val="00267C83"/>
    <w:rsid w:val="00270022"/>
    <w:rsid w:val="00270964"/>
    <w:rsid w:val="0027144F"/>
    <w:rsid w:val="00271EE9"/>
    <w:rsid w:val="00271F3A"/>
    <w:rsid w:val="002726CC"/>
    <w:rsid w:val="00273278"/>
    <w:rsid w:val="002737F4"/>
    <w:rsid w:val="00276F55"/>
    <w:rsid w:val="00277ABB"/>
    <w:rsid w:val="002803DE"/>
    <w:rsid w:val="002805F5"/>
    <w:rsid w:val="00280751"/>
    <w:rsid w:val="00280DD1"/>
    <w:rsid w:val="00281D40"/>
    <w:rsid w:val="0028280A"/>
    <w:rsid w:val="00282C4C"/>
    <w:rsid w:val="00284305"/>
    <w:rsid w:val="0028604A"/>
    <w:rsid w:val="00286ACD"/>
    <w:rsid w:val="002874C0"/>
    <w:rsid w:val="00287838"/>
    <w:rsid w:val="002907B5"/>
    <w:rsid w:val="0029159A"/>
    <w:rsid w:val="00292EB7"/>
    <w:rsid w:val="00293132"/>
    <w:rsid w:val="002932F1"/>
    <w:rsid w:val="00294B41"/>
    <w:rsid w:val="00294E81"/>
    <w:rsid w:val="00296227"/>
    <w:rsid w:val="00296F44"/>
    <w:rsid w:val="0029733D"/>
    <w:rsid w:val="0029777D"/>
    <w:rsid w:val="002A055E"/>
    <w:rsid w:val="002A0B6A"/>
    <w:rsid w:val="002A1316"/>
    <w:rsid w:val="002A1D4E"/>
    <w:rsid w:val="002A247E"/>
    <w:rsid w:val="002A2869"/>
    <w:rsid w:val="002A376A"/>
    <w:rsid w:val="002A3C5F"/>
    <w:rsid w:val="002A3E3C"/>
    <w:rsid w:val="002A4183"/>
    <w:rsid w:val="002A5168"/>
    <w:rsid w:val="002A5D46"/>
    <w:rsid w:val="002A614B"/>
    <w:rsid w:val="002A69EE"/>
    <w:rsid w:val="002B0409"/>
    <w:rsid w:val="002B1702"/>
    <w:rsid w:val="002B24D6"/>
    <w:rsid w:val="002B64CF"/>
    <w:rsid w:val="002B73E5"/>
    <w:rsid w:val="002C3E6B"/>
    <w:rsid w:val="002C41E6"/>
    <w:rsid w:val="002C41ED"/>
    <w:rsid w:val="002C49E4"/>
    <w:rsid w:val="002C6F10"/>
    <w:rsid w:val="002C7A4B"/>
    <w:rsid w:val="002C7E29"/>
    <w:rsid w:val="002D071A"/>
    <w:rsid w:val="002D081E"/>
    <w:rsid w:val="002D18D4"/>
    <w:rsid w:val="002D2D70"/>
    <w:rsid w:val="002D34B2"/>
    <w:rsid w:val="002D3AC9"/>
    <w:rsid w:val="002D4F01"/>
    <w:rsid w:val="002D66E1"/>
    <w:rsid w:val="002D7212"/>
    <w:rsid w:val="002D7637"/>
    <w:rsid w:val="002D7A67"/>
    <w:rsid w:val="002E0987"/>
    <w:rsid w:val="002E17F2"/>
    <w:rsid w:val="002E2029"/>
    <w:rsid w:val="002E3C2F"/>
    <w:rsid w:val="002E60E2"/>
    <w:rsid w:val="002E6EE0"/>
    <w:rsid w:val="002E7CAE"/>
    <w:rsid w:val="002F1AD5"/>
    <w:rsid w:val="002F2771"/>
    <w:rsid w:val="002F37A9"/>
    <w:rsid w:val="002F3C5F"/>
    <w:rsid w:val="002F4FF4"/>
    <w:rsid w:val="002F53D8"/>
    <w:rsid w:val="002F66BA"/>
    <w:rsid w:val="002F7AD1"/>
    <w:rsid w:val="00300A0D"/>
    <w:rsid w:val="00301623"/>
    <w:rsid w:val="00301CE6"/>
    <w:rsid w:val="00302243"/>
    <w:rsid w:val="003022D6"/>
    <w:rsid w:val="0030256B"/>
    <w:rsid w:val="003026FB"/>
    <w:rsid w:val="0030272F"/>
    <w:rsid w:val="00302ADB"/>
    <w:rsid w:val="0030501F"/>
    <w:rsid w:val="00306359"/>
    <w:rsid w:val="00307220"/>
    <w:rsid w:val="00307BA1"/>
    <w:rsid w:val="00311702"/>
    <w:rsid w:val="00311E82"/>
    <w:rsid w:val="00312185"/>
    <w:rsid w:val="00313FD6"/>
    <w:rsid w:val="00314323"/>
    <w:rsid w:val="003143BD"/>
    <w:rsid w:val="003162CE"/>
    <w:rsid w:val="00316C92"/>
    <w:rsid w:val="003203AA"/>
    <w:rsid w:val="003203ED"/>
    <w:rsid w:val="0032122C"/>
    <w:rsid w:val="00322C9F"/>
    <w:rsid w:val="00322D02"/>
    <w:rsid w:val="00323BE8"/>
    <w:rsid w:val="00324D23"/>
    <w:rsid w:val="00325BCD"/>
    <w:rsid w:val="003278FD"/>
    <w:rsid w:val="0033134D"/>
    <w:rsid w:val="00331751"/>
    <w:rsid w:val="00331B6A"/>
    <w:rsid w:val="00332A07"/>
    <w:rsid w:val="00334579"/>
    <w:rsid w:val="00335858"/>
    <w:rsid w:val="00336BDA"/>
    <w:rsid w:val="00336C83"/>
    <w:rsid w:val="00340A76"/>
    <w:rsid w:val="00341CF5"/>
    <w:rsid w:val="00342AFB"/>
    <w:rsid w:val="00342BD7"/>
    <w:rsid w:val="00343A07"/>
    <w:rsid w:val="003462A2"/>
    <w:rsid w:val="00346DB5"/>
    <w:rsid w:val="003477B1"/>
    <w:rsid w:val="003503F4"/>
    <w:rsid w:val="00351692"/>
    <w:rsid w:val="00352D31"/>
    <w:rsid w:val="0035491B"/>
    <w:rsid w:val="00354E94"/>
    <w:rsid w:val="003554E1"/>
    <w:rsid w:val="00355AEB"/>
    <w:rsid w:val="00357219"/>
    <w:rsid w:val="00357380"/>
    <w:rsid w:val="003602D9"/>
    <w:rsid w:val="003604CE"/>
    <w:rsid w:val="00360D25"/>
    <w:rsid w:val="00361899"/>
    <w:rsid w:val="0036315B"/>
    <w:rsid w:val="003664DD"/>
    <w:rsid w:val="003679D9"/>
    <w:rsid w:val="00370E47"/>
    <w:rsid w:val="003742AC"/>
    <w:rsid w:val="003761FA"/>
    <w:rsid w:val="00377CE1"/>
    <w:rsid w:val="003823D2"/>
    <w:rsid w:val="0038482E"/>
    <w:rsid w:val="003849B2"/>
    <w:rsid w:val="00385A42"/>
    <w:rsid w:val="00385BF0"/>
    <w:rsid w:val="003910F2"/>
    <w:rsid w:val="003939FF"/>
    <w:rsid w:val="00393B2E"/>
    <w:rsid w:val="00396481"/>
    <w:rsid w:val="003A0D25"/>
    <w:rsid w:val="003A2223"/>
    <w:rsid w:val="003A2A0F"/>
    <w:rsid w:val="003A45A1"/>
    <w:rsid w:val="003A5B0A"/>
    <w:rsid w:val="003A6049"/>
    <w:rsid w:val="003A6BAC"/>
    <w:rsid w:val="003A7EF3"/>
    <w:rsid w:val="003B0731"/>
    <w:rsid w:val="003B159C"/>
    <w:rsid w:val="003B369F"/>
    <w:rsid w:val="003B36A3"/>
    <w:rsid w:val="003B39B9"/>
    <w:rsid w:val="003B411C"/>
    <w:rsid w:val="003B460B"/>
    <w:rsid w:val="003B6F14"/>
    <w:rsid w:val="003B7D2A"/>
    <w:rsid w:val="003B7FE5"/>
    <w:rsid w:val="003C03CA"/>
    <w:rsid w:val="003C11C8"/>
    <w:rsid w:val="003C2702"/>
    <w:rsid w:val="003C3582"/>
    <w:rsid w:val="003C36DB"/>
    <w:rsid w:val="003C5EF7"/>
    <w:rsid w:val="003C6BDC"/>
    <w:rsid w:val="003C6DA5"/>
    <w:rsid w:val="003C7806"/>
    <w:rsid w:val="003D109F"/>
    <w:rsid w:val="003D1BBC"/>
    <w:rsid w:val="003D2478"/>
    <w:rsid w:val="003D3C45"/>
    <w:rsid w:val="003D46F2"/>
    <w:rsid w:val="003D5B1F"/>
    <w:rsid w:val="003D5EF8"/>
    <w:rsid w:val="003D6789"/>
    <w:rsid w:val="003D748C"/>
    <w:rsid w:val="003E15FA"/>
    <w:rsid w:val="003E19D7"/>
    <w:rsid w:val="003E2D50"/>
    <w:rsid w:val="003E55E4"/>
    <w:rsid w:val="003E7215"/>
    <w:rsid w:val="003E74E3"/>
    <w:rsid w:val="003F05C7"/>
    <w:rsid w:val="003F2CD4"/>
    <w:rsid w:val="003F326A"/>
    <w:rsid w:val="003F42AD"/>
    <w:rsid w:val="003F5314"/>
    <w:rsid w:val="003F5F26"/>
    <w:rsid w:val="003F5F82"/>
    <w:rsid w:val="003F6BBE"/>
    <w:rsid w:val="004000E8"/>
    <w:rsid w:val="00402E2B"/>
    <w:rsid w:val="0040512B"/>
    <w:rsid w:val="00405CA5"/>
    <w:rsid w:val="0040745F"/>
    <w:rsid w:val="004074CE"/>
    <w:rsid w:val="00407CD3"/>
    <w:rsid w:val="00410134"/>
    <w:rsid w:val="00410306"/>
    <w:rsid w:val="00410B72"/>
    <w:rsid w:val="00410F18"/>
    <w:rsid w:val="00411545"/>
    <w:rsid w:val="0041263E"/>
    <w:rsid w:val="00413140"/>
    <w:rsid w:val="00413AAC"/>
    <w:rsid w:val="00421105"/>
    <w:rsid w:val="004242F4"/>
    <w:rsid w:val="0042654F"/>
    <w:rsid w:val="004268ED"/>
    <w:rsid w:val="00426BB8"/>
    <w:rsid w:val="00426D86"/>
    <w:rsid w:val="00427248"/>
    <w:rsid w:val="00427382"/>
    <w:rsid w:val="0043177E"/>
    <w:rsid w:val="0043252E"/>
    <w:rsid w:val="00433819"/>
    <w:rsid w:val="00436AE5"/>
    <w:rsid w:val="00437447"/>
    <w:rsid w:val="00440D8D"/>
    <w:rsid w:val="00441532"/>
    <w:rsid w:val="00441A92"/>
    <w:rsid w:val="00444F56"/>
    <w:rsid w:val="00446488"/>
    <w:rsid w:val="004517AA"/>
    <w:rsid w:val="00452CAC"/>
    <w:rsid w:val="00452F35"/>
    <w:rsid w:val="00453D71"/>
    <w:rsid w:val="00455236"/>
    <w:rsid w:val="00455FA4"/>
    <w:rsid w:val="00456C2C"/>
    <w:rsid w:val="00457565"/>
    <w:rsid w:val="004576F2"/>
    <w:rsid w:val="00457B71"/>
    <w:rsid w:val="00457E3C"/>
    <w:rsid w:val="004669E2"/>
    <w:rsid w:val="00470243"/>
    <w:rsid w:val="00470C31"/>
    <w:rsid w:val="00472C76"/>
    <w:rsid w:val="004734D0"/>
    <w:rsid w:val="00474E9C"/>
    <w:rsid w:val="0047548E"/>
    <w:rsid w:val="0047556B"/>
    <w:rsid w:val="00475E9D"/>
    <w:rsid w:val="00476B1C"/>
    <w:rsid w:val="00477768"/>
    <w:rsid w:val="00481F72"/>
    <w:rsid w:val="004829A5"/>
    <w:rsid w:val="0048677C"/>
    <w:rsid w:val="004868EE"/>
    <w:rsid w:val="00486BCC"/>
    <w:rsid w:val="00490FF2"/>
    <w:rsid w:val="004926BE"/>
    <w:rsid w:val="00492810"/>
    <w:rsid w:val="00492BC5"/>
    <w:rsid w:val="00493F0C"/>
    <w:rsid w:val="00495217"/>
    <w:rsid w:val="0049533A"/>
    <w:rsid w:val="004964F1"/>
    <w:rsid w:val="0049717D"/>
    <w:rsid w:val="004A0C63"/>
    <w:rsid w:val="004A16BC"/>
    <w:rsid w:val="004A2B94"/>
    <w:rsid w:val="004A3060"/>
    <w:rsid w:val="004A307F"/>
    <w:rsid w:val="004A40D3"/>
    <w:rsid w:val="004A4C34"/>
    <w:rsid w:val="004A5412"/>
    <w:rsid w:val="004A6279"/>
    <w:rsid w:val="004A723D"/>
    <w:rsid w:val="004B17E9"/>
    <w:rsid w:val="004B24C5"/>
    <w:rsid w:val="004B288E"/>
    <w:rsid w:val="004B2D18"/>
    <w:rsid w:val="004B3D7A"/>
    <w:rsid w:val="004B5464"/>
    <w:rsid w:val="004B7B67"/>
    <w:rsid w:val="004B7C0C"/>
    <w:rsid w:val="004C0E99"/>
    <w:rsid w:val="004C2DB9"/>
    <w:rsid w:val="004C3898"/>
    <w:rsid w:val="004C3CC3"/>
    <w:rsid w:val="004C4954"/>
    <w:rsid w:val="004C6A30"/>
    <w:rsid w:val="004D11BD"/>
    <w:rsid w:val="004D2F40"/>
    <w:rsid w:val="004D36B1"/>
    <w:rsid w:val="004D73EE"/>
    <w:rsid w:val="004D7EBD"/>
    <w:rsid w:val="004E2680"/>
    <w:rsid w:val="004E28F9"/>
    <w:rsid w:val="004E462E"/>
    <w:rsid w:val="004E56A4"/>
    <w:rsid w:val="004E56DC"/>
    <w:rsid w:val="004E76F4"/>
    <w:rsid w:val="004F0B4E"/>
    <w:rsid w:val="004F0B6C"/>
    <w:rsid w:val="004F1104"/>
    <w:rsid w:val="004F2078"/>
    <w:rsid w:val="004F4DA3"/>
    <w:rsid w:val="004F561C"/>
    <w:rsid w:val="005019E5"/>
    <w:rsid w:val="005022A7"/>
    <w:rsid w:val="00502748"/>
    <w:rsid w:val="00506557"/>
    <w:rsid w:val="00506624"/>
    <w:rsid w:val="0050677A"/>
    <w:rsid w:val="005068E5"/>
    <w:rsid w:val="0051045A"/>
    <w:rsid w:val="00510625"/>
    <w:rsid w:val="005108D8"/>
    <w:rsid w:val="005116F9"/>
    <w:rsid w:val="005139EC"/>
    <w:rsid w:val="00513E19"/>
    <w:rsid w:val="005141A8"/>
    <w:rsid w:val="005153A7"/>
    <w:rsid w:val="0051743E"/>
    <w:rsid w:val="00520C99"/>
    <w:rsid w:val="00521022"/>
    <w:rsid w:val="005219CF"/>
    <w:rsid w:val="00522220"/>
    <w:rsid w:val="005236CE"/>
    <w:rsid w:val="00526197"/>
    <w:rsid w:val="00526B75"/>
    <w:rsid w:val="00530BC8"/>
    <w:rsid w:val="00530DC3"/>
    <w:rsid w:val="005325BC"/>
    <w:rsid w:val="00534B59"/>
    <w:rsid w:val="00534E91"/>
    <w:rsid w:val="00535169"/>
    <w:rsid w:val="005359E0"/>
    <w:rsid w:val="0053620F"/>
    <w:rsid w:val="00536562"/>
    <w:rsid w:val="00536759"/>
    <w:rsid w:val="00537C62"/>
    <w:rsid w:val="0054313F"/>
    <w:rsid w:val="005450C2"/>
    <w:rsid w:val="00546970"/>
    <w:rsid w:val="00547923"/>
    <w:rsid w:val="005540BA"/>
    <w:rsid w:val="00554319"/>
    <w:rsid w:val="00554B67"/>
    <w:rsid w:val="00554E19"/>
    <w:rsid w:val="00556B0F"/>
    <w:rsid w:val="0056121F"/>
    <w:rsid w:val="00567704"/>
    <w:rsid w:val="00570192"/>
    <w:rsid w:val="00570EDF"/>
    <w:rsid w:val="00571795"/>
    <w:rsid w:val="00572505"/>
    <w:rsid w:val="00575880"/>
    <w:rsid w:val="005759D9"/>
    <w:rsid w:val="005801D7"/>
    <w:rsid w:val="0058077C"/>
    <w:rsid w:val="00580899"/>
    <w:rsid w:val="00582809"/>
    <w:rsid w:val="00583501"/>
    <w:rsid w:val="00584DA2"/>
    <w:rsid w:val="00584DE6"/>
    <w:rsid w:val="0058798C"/>
    <w:rsid w:val="005900FA"/>
    <w:rsid w:val="005907F1"/>
    <w:rsid w:val="00592366"/>
    <w:rsid w:val="0059315A"/>
    <w:rsid w:val="00593487"/>
    <w:rsid w:val="005935A4"/>
    <w:rsid w:val="005948C2"/>
    <w:rsid w:val="005954F3"/>
    <w:rsid w:val="00595DCA"/>
    <w:rsid w:val="00597092"/>
    <w:rsid w:val="0059779B"/>
    <w:rsid w:val="005A209A"/>
    <w:rsid w:val="005A21FE"/>
    <w:rsid w:val="005A662D"/>
    <w:rsid w:val="005B1316"/>
    <w:rsid w:val="005B17AC"/>
    <w:rsid w:val="005B35D7"/>
    <w:rsid w:val="005B392A"/>
    <w:rsid w:val="005B3AA3"/>
    <w:rsid w:val="005B591A"/>
    <w:rsid w:val="005B6F83"/>
    <w:rsid w:val="005C09D7"/>
    <w:rsid w:val="005C4D22"/>
    <w:rsid w:val="005C4FCD"/>
    <w:rsid w:val="005C74FB"/>
    <w:rsid w:val="005D036D"/>
    <w:rsid w:val="005D1406"/>
    <w:rsid w:val="005D1602"/>
    <w:rsid w:val="005D3A04"/>
    <w:rsid w:val="005D4CDB"/>
    <w:rsid w:val="005D6D76"/>
    <w:rsid w:val="005D794D"/>
    <w:rsid w:val="005E0347"/>
    <w:rsid w:val="005E1653"/>
    <w:rsid w:val="005E385F"/>
    <w:rsid w:val="005E5B81"/>
    <w:rsid w:val="005E6890"/>
    <w:rsid w:val="005F2CB1"/>
    <w:rsid w:val="005F3025"/>
    <w:rsid w:val="005F42CD"/>
    <w:rsid w:val="005F4AB4"/>
    <w:rsid w:val="005F5DE7"/>
    <w:rsid w:val="005F618C"/>
    <w:rsid w:val="005F70BD"/>
    <w:rsid w:val="005F7187"/>
    <w:rsid w:val="005F73CC"/>
    <w:rsid w:val="006001AB"/>
    <w:rsid w:val="00600564"/>
    <w:rsid w:val="0060283C"/>
    <w:rsid w:val="00602A5E"/>
    <w:rsid w:val="00603E1B"/>
    <w:rsid w:val="00604F14"/>
    <w:rsid w:val="00606427"/>
    <w:rsid w:val="00607F52"/>
    <w:rsid w:val="00610220"/>
    <w:rsid w:val="0061054C"/>
    <w:rsid w:val="0061128F"/>
    <w:rsid w:val="00611B83"/>
    <w:rsid w:val="00613257"/>
    <w:rsid w:val="006141DA"/>
    <w:rsid w:val="00614C20"/>
    <w:rsid w:val="00614E8E"/>
    <w:rsid w:val="00617FCC"/>
    <w:rsid w:val="00620A71"/>
    <w:rsid w:val="00620D80"/>
    <w:rsid w:val="00621B2C"/>
    <w:rsid w:val="006234A6"/>
    <w:rsid w:val="00626244"/>
    <w:rsid w:val="006262A8"/>
    <w:rsid w:val="00630001"/>
    <w:rsid w:val="006311B3"/>
    <w:rsid w:val="00631439"/>
    <w:rsid w:val="00631A94"/>
    <w:rsid w:val="00631CA0"/>
    <w:rsid w:val="0063284C"/>
    <w:rsid w:val="00633648"/>
    <w:rsid w:val="00636398"/>
    <w:rsid w:val="006368D3"/>
    <w:rsid w:val="006377EC"/>
    <w:rsid w:val="00640955"/>
    <w:rsid w:val="0064151F"/>
    <w:rsid w:val="00641533"/>
    <w:rsid w:val="0064208D"/>
    <w:rsid w:val="006427E2"/>
    <w:rsid w:val="00642D5F"/>
    <w:rsid w:val="00643475"/>
    <w:rsid w:val="0064372F"/>
    <w:rsid w:val="0064396A"/>
    <w:rsid w:val="00646068"/>
    <w:rsid w:val="006461B8"/>
    <w:rsid w:val="0064624E"/>
    <w:rsid w:val="0064639B"/>
    <w:rsid w:val="00647AC1"/>
    <w:rsid w:val="0065056A"/>
    <w:rsid w:val="00650AB9"/>
    <w:rsid w:val="006518C0"/>
    <w:rsid w:val="00651E2F"/>
    <w:rsid w:val="0065536F"/>
    <w:rsid w:val="00655733"/>
    <w:rsid w:val="00655ACD"/>
    <w:rsid w:val="006563BE"/>
    <w:rsid w:val="00656A92"/>
    <w:rsid w:val="00656DDE"/>
    <w:rsid w:val="0066011D"/>
    <w:rsid w:val="006607C0"/>
    <w:rsid w:val="00660C5E"/>
    <w:rsid w:val="006613A6"/>
    <w:rsid w:val="006627A2"/>
    <w:rsid w:val="006634E6"/>
    <w:rsid w:val="00663BD9"/>
    <w:rsid w:val="006642D1"/>
    <w:rsid w:val="006655EE"/>
    <w:rsid w:val="00665EE9"/>
    <w:rsid w:val="00666C6D"/>
    <w:rsid w:val="00667EE7"/>
    <w:rsid w:val="00670922"/>
    <w:rsid w:val="00670BE1"/>
    <w:rsid w:val="0067218F"/>
    <w:rsid w:val="006738EE"/>
    <w:rsid w:val="00673AE8"/>
    <w:rsid w:val="006741F2"/>
    <w:rsid w:val="00674CC3"/>
    <w:rsid w:val="0067570E"/>
    <w:rsid w:val="00675C72"/>
    <w:rsid w:val="00676130"/>
    <w:rsid w:val="0067617F"/>
    <w:rsid w:val="006771D5"/>
    <w:rsid w:val="006771F9"/>
    <w:rsid w:val="006776D7"/>
    <w:rsid w:val="00680CC0"/>
    <w:rsid w:val="00681003"/>
    <w:rsid w:val="00681636"/>
    <w:rsid w:val="006817C9"/>
    <w:rsid w:val="00683C7F"/>
    <w:rsid w:val="00683ECE"/>
    <w:rsid w:val="006846D4"/>
    <w:rsid w:val="006927D3"/>
    <w:rsid w:val="006932B9"/>
    <w:rsid w:val="00693BFA"/>
    <w:rsid w:val="00693C54"/>
    <w:rsid w:val="00695FC2"/>
    <w:rsid w:val="0069626D"/>
    <w:rsid w:val="00696949"/>
    <w:rsid w:val="00697052"/>
    <w:rsid w:val="0069771A"/>
    <w:rsid w:val="006A0107"/>
    <w:rsid w:val="006A13FF"/>
    <w:rsid w:val="006A2C67"/>
    <w:rsid w:val="006A46FB"/>
    <w:rsid w:val="006A5E28"/>
    <w:rsid w:val="006A68F1"/>
    <w:rsid w:val="006A697B"/>
    <w:rsid w:val="006A7AFF"/>
    <w:rsid w:val="006B10D8"/>
    <w:rsid w:val="006B1816"/>
    <w:rsid w:val="006B2099"/>
    <w:rsid w:val="006B25E6"/>
    <w:rsid w:val="006B50CF"/>
    <w:rsid w:val="006B6B19"/>
    <w:rsid w:val="006B7ED9"/>
    <w:rsid w:val="006C03B8"/>
    <w:rsid w:val="006C0CFA"/>
    <w:rsid w:val="006C491E"/>
    <w:rsid w:val="006C5EC9"/>
    <w:rsid w:val="006C5F08"/>
    <w:rsid w:val="006C6059"/>
    <w:rsid w:val="006C70DD"/>
    <w:rsid w:val="006C7522"/>
    <w:rsid w:val="006C7BF1"/>
    <w:rsid w:val="006D168F"/>
    <w:rsid w:val="006D1E9F"/>
    <w:rsid w:val="006D3B4F"/>
    <w:rsid w:val="006D3F80"/>
    <w:rsid w:val="006D468E"/>
    <w:rsid w:val="006D6F08"/>
    <w:rsid w:val="006D7C02"/>
    <w:rsid w:val="006D7D3B"/>
    <w:rsid w:val="006E0010"/>
    <w:rsid w:val="006E0061"/>
    <w:rsid w:val="006E062C"/>
    <w:rsid w:val="006E12FB"/>
    <w:rsid w:val="006E1CEC"/>
    <w:rsid w:val="006E28B7"/>
    <w:rsid w:val="006E3310"/>
    <w:rsid w:val="006E4E39"/>
    <w:rsid w:val="006E565E"/>
    <w:rsid w:val="006E673D"/>
    <w:rsid w:val="006E7D3B"/>
    <w:rsid w:val="006F1B70"/>
    <w:rsid w:val="006F341D"/>
    <w:rsid w:val="006F3CDE"/>
    <w:rsid w:val="006F3D31"/>
    <w:rsid w:val="006F58D4"/>
    <w:rsid w:val="00700B20"/>
    <w:rsid w:val="00701B48"/>
    <w:rsid w:val="0070346E"/>
    <w:rsid w:val="007037D0"/>
    <w:rsid w:val="007047EE"/>
    <w:rsid w:val="00704C6A"/>
    <w:rsid w:val="00704EDB"/>
    <w:rsid w:val="007053CE"/>
    <w:rsid w:val="00706101"/>
    <w:rsid w:val="0070653F"/>
    <w:rsid w:val="00707072"/>
    <w:rsid w:val="00707710"/>
    <w:rsid w:val="00707D61"/>
    <w:rsid w:val="00710F60"/>
    <w:rsid w:val="00711196"/>
    <w:rsid w:val="00712287"/>
    <w:rsid w:val="00712772"/>
    <w:rsid w:val="00712D9C"/>
    <w:rsid w:val="00713B77"/>
    <w:rsid w:val="007148D3"/>
    <w:rsid w:val="00715B9A"/>
    <w:rsid w:val="00720B1D"/>
    <w:rsid w:val="0072571E"/>
    <w:rsid w:val="00725C44"/>
    <w:rsid w:val="00726AA7"/>
    <w:rsid w:val="00726EA6"/>
    <w:rsid w:val="00727208"/>
    <w:rsid w:val="00727680"/>
    <w:rsid w:val="007278A3"/>
    <w:rsid w:val="00733494"/>
    <w:rsid w:val="007337C2"/>
    <w:rsid w:val="00733833"/>
    <w:rsid w:val="007342A6"/>
    <w:rsid w:val="007348B1"/>
    <w:rsid w:val="00735CB0"/>
    <w:rsid w:val="00735EA1"/>
    <w:rsid w:val="007362A6"/>
    <w:rsid w:val="00736D7D"/>
    <w:rsid w:val="0074001B"/>
    <w:rsid w:val="00740E58"/>
    <w:rsid w:val="0074316B"/>
    <w:rsid w:val="007445A0"/>
    <w:rsid w:val="0074524B"/>
    <w:rsid w:val="007464C8"/>
    <w:rsid w:val="007468D1"/>
    <w:rsid w:val="00747725"/>
    <w:rsid w:val="00747D8B"/>
    <w:rsid w:val="007511C6"/>
    <w:rsid w:val="00751228"/>
    <w:rsid w:val="00751A41"/>
    <w:rsid w:val="00756E37"/>
    <w:rsid w:val="007571E1"/>
    <w:rsid w:val="007604B2"/>
    <w:rsid w:val="0076224F"/>
    <w:rsid w:val="007633B9"/>
    <w:rsid w:val="00765281"/>
    <w:rsid w:val="00765B8A"/>
    <w:rsid w:val="0076693F"/>
    <w:rsid w:val="00766BAD"/>
    <w:rsid w:val="00770902"/>
    <w:rsid w:val="00771BFA"/>
    <w:rsid w:val="00772087"/>
    <w:rsid w:val="007730BD"/>
    <w:rsid w:val="00774082"/>
    <w:rsid w:val="00775311"/>
    <w:rsid w:val="007755F2"/>
    <w:rsid w:val="00775EF1"/>
    <w:rsid w:val="00776971"/>
    <w:rsid w:val="00777E3F"/>
    <w:rsid w:val="0078177E"/>
    <w:rsid w:val="007827A2"/>
    <w:rsid w:val="00782D81"/>
    <w:rsid w:val="0078304C"/>
    <w:rsid w:val="00783673"/>
    <w:rsid w:val="00785490"/>
    <w:rsid w:val="00787AFF"/>
    <w:rsid w:val="0079239B"/>
    <w:rsid w:val="007925EA"/>
    <w:rsid w:val="00793CD8"/>
    <w:rsid w:val="00795C92"/>
    <w:rsid w:val="00796231"/>
    <w:rsid w:val="00797B72"/>
    <w:rsid w:val="007A1CB3"/>
    <w:rsid w:val="007A306F"/>
    <w:rsid w:val="007A3B9A"/>
    <w:rsid w:val="007A4097"/>
    <w:rsid w:val="007A426D"/>
    <w:rsid w:val="007A43A6"/>
    <w:rsid w:val="007A4504"/>
    <w:rsid w:val="007A58A6"/>
    <w:rsid w:val="007A76A6"/>
    <w:rsid w:val="007B06CA"/>
    <w:rsid w:val="007B0D23"/>
    <w:rsid w:val="007B0FD8"/>
    <w:rsid w:val="007B3D2D"/>
    <w:rsid w:val="007B3D53"/>
    <w:rsid w:val="007B3E08"/>
    <w:rsid w:val="007B50AE"/>
    <w:rsid w:val="007B51DF"/>
    <w:rsid w:val="007B56DA"/>
    <w:rsid w:val="007B65C8"/>
    <w:rsid w:val="007B69BE"/>
    <w:rsid w:val="007B6A2D"/>
    <w:rsid w:val="007B766A"/>
    <w:rsid w:val="007C05DD"/>
    <w:rsid w:val="007C1E7A"/>
    <w:rsid w:val="007C2513"/>
    <w:rsid w:val="007C3B0F"/>
    <w:rsid w:val="007C3D18"/>
    <w:rsid w:val="007C3FDE"/>
    <w:rsid w:val="007C60BF"/>
    <w:rsid w:val="007C6A07"/>
    <w:rsid w:val="007C72DC"/>
    <w:rsid w:val="007C75A1"/>
    <w:rsid w:val="007C77A5"/>
    <w:rsid w:val="007D02FA"/>
    <w:rsid w:val="007D04E5"/>
    <w:rsid w:val="007D0DA0"/>
    <w:rsid w:val="007D2DAC"/>
    <w:rsid w:val="007D4078"/>
    <w:rsid w:val="007D5901"/>
    <w:rsid w:val="007D7526"/>
    <w:rsid w:val="007E0F17"/>
    <w:rsid w:val="007E0F7F"/>
    <w:rsid w:val="007E35FC"/>
    <w:rsid w:val="007E4086"/>
    <w:rsid w:val="007E45D8"/>
    <w:rsid w:val="007E4610"/>
    <w:rsid w:val="007E4715"/>
    <w:rsid w:val="007E505B"/>
    <w:rsid w:val="007E59E5"/>
    <w:rsid w:val="007E7091"/>
    <w:rsid w:val="007F10C4"/>
    <w:rsid w:val="007F6109"/>
    <w:rsid w:val="007F77F0"/>
    <w:rsid w:val="00803FAE"/>
    <w:rsid w:val="0080541A"/>
    <w:rsid w:val="0080605F"/>
    <w:rsid w:val="008060E6"/>
    <w:rsid w:val="00806A37"/>
    <w:rsid w:val="00806E3A"/>
    <w:rsid w:val="00807786"/>
    <w:rsid w:val="00810D5F"/>
    <w:rsid w:val="00811FCB"/>
    <w:rsid w:val="0081226E"/>
    <w:rsid w:val="00813697"/>
    <w:rsid w:val="00815459"/>
    <w:rsid w:val="008158D6"/>
    <w:rsid w:val="00815DB1"/>
    <w:rsid w:val="00817196"/>
    <w:rsid w:val="00822807"/>
    <w:rsid w:val="008235DB"/>
    <w:rsid w:val="00823AAB"/>
    <w:rsid w:val="00823E03"/>
    <w:rsid w:val="008240B9"/>
    <w:rsid w:val="00824AB4"/>
    <w:rsid w:val="00825101"/>
    <w:rsid w:val="00825C42"/>
    <w:rsid w:val="00825D25"/>
    <w:rsid w:val="00825E1E"/>
    <w:rsid w:val="00827D6F"/>
    <w:rsid w:val="00831E23"/>
    <w:rsid w:val="00832477"/>
    <w:rsid w:val="008376AC"/>
    <w:rsid w:val="00837AD0"/>
    <w:rsid w:val="0084159A"/>
    <w:rsid w:val="00841620"/>
    <w:rsid w:val="008444E8"/>
    <w:rsid w:val="00844E80"/>
    <w:rsid w:val="00846FE7"/>
    <w:rsid w:val="008473C6"/>
    <w:rsid w:val="00847EB6"/>
    <w:rsid w:val="00852369"/>
    <w:rsid w:val="00854D1E"/>
    <w:rsid w:val="00854F97"/>
    <w:rsid w:val="00856911"/>
    <w:rsid w:val="0086014B"/>
    <w:rsid w:val="00860AC2"/>
    <w:rsid w:val="0086132C"/>
    <w:rsid w:val="0086193A"/>
    <w:rsid w:val="00862E05"/>
    <w:rsid w:val="008633BC"/>
    <w:rsid w:val="00866897"/>
    <w:rsid w:val="008677FD"/>
    <w:rsid w:val="008706D4"/>
    <w:rsid w:val="00870F8A"/>
    <w:rsid w:val="008719A4"/>
    <w:rsid w:val="00871D23"/>
    <w:rsid w:val="00873928"/>
    <w:rsid w:val="00873DB0"/>
    <w:rsid w:val="008741B2"/>
    <w:rsid w:val="00874312"/>
    <w:rsid w:val="0087437C"/>
    <w:rsid w:val="00875C30"/>
    <w:rsid w:val="00875CD7"/>
    <w:rsid w:val="00875FF1"/>
    <w:rsid w:val="00876B4D"/>
    <w:rsid w:val="00877F18"/>
    <w:rsid w:val="00882738"/>
    <w:rsid w:val="00884386"/>
    <w:rsid w:val="0088494E"/>
    <w:rsid w:val="008867DB"/>
    <w:rsid w:val="00894337"/>
    <w:rsid w:val="00894404"/>
    <w:rsid w:val="0089486E"/>
    <w:rsid w:val="00894A88"/>
    <w:rsid w:val="00895386"/>
    <w:rsid w:val="008961AD"/>
    <w:rsid w:val="008A135F"/>
    <w:rsid w:val="008A1825"/>
    <w:rsid w:val="008A21FF"/>
    <w:rsid w:val="008A2CE2"/>
    <w:rsid w:val="008A30AC"/>
    <w:rsid w:val="008A44B8"/>
    <w:rsid w:val="008A51A8"/>
    <w:rsid w:val="008A54C7"/>
    <w:rsid w:val="008A77D8"/>
    <w:rsid w:val="008B02AD"/>
    <w:rsid w:val="008B031C"/>
    <w:rsid w:val="008B0483"/>
    <w:rsid w:val="008B120C"/>
    <w:rsid w:val="008B2DC8"/>
    <w:rsid w:val="008B51A0"/>
    <w:rsid w:val="008B592A"/>
    <w:rsid w:val="008B7B5C"/>
    <w:rsid w:val="008C0C99"/>
    <w:rsid w:val="008C2017"/>
    <w:rsid w:val="008C201D"/>
    <w:rsid w:val="008C2C44"/>
    <w:rsid w:val="008C3F90"/>
    <w:rsid w:val="008C4958"/>
    <w:rsid w:val="008C4BAA"/>
    <w:rsid w:val="008C58E8"/>
    <w:rsid w:val="008C6672"/>
    <w:rsid w:val="008C687F"/>
    <w:rsid w:val="008C6AE8"/>
    <w:rsid w:val="008C7573"/>
    <w:rsid w:val="008D0CDF"/>
    <w:rsid w:val="008D29D1"/>
    <w:rsid w:val="008D34F1"/>
    <w:rsid w:val="008D39D8"/>
    <w:rsid w:val="008D4BEB"/>
    <w:rsid w:val="008D6D1A"/>
    <w:rsid w:val="008E065E"/>
    <w:rsid w:val="008E0927"/>
    <w:rsid w:val="008E1646"/>
    <w:rsid w:val="008E1909"/>
    <w:rsid w:val="008E217F"/>
    <w:rsid w:val="008E49E8"/>
    <w:rsid w:val="008F18F9"/>
    <w:rsid w:val="008F191C"/>
    <w:rsid w:val="008F1EAB"/>
    <w:rsid w:val="008F33DC"/>
    <w:rsid w:val="008F4733"/>
    <w:rsid w:val="008F477F"/>
    <w:rsid w:val="008F5A87"/>
    <w:rsid w:val="008F66B5"/>
    <w:rsid w:val="008F75D9"/>
    <w:rsid w:val="00902350"/>
    <w:rsid w:val="0090273E"/>
    <w:rsid w:val="009029AA"/>
    <w:rsid w:val="0090336B"/>
    <w:rsid w:val="00903E78"/>
    <w:rsid w:val="009053AA"/>
    <w:rsid w:val="009068B6"/>
    <w:rsid w:val="00906939"/>
    <w:rsid w:val="00906A06"/>
    <w:rsid w:val="00910B7D"/>
    <w:rsid w:val="00911A72"/>
    <w:rsid w:val="00911DFB"/>
    <w:rsid w:val="009129F6"/>
    <w:rsid w:val="009132F7"/>
    <w:rsid w:val="009139D9"/>
    <w:rsid w:val="00914AD8"/>
    <w:rsid w:val="00914DB8"/>
    <w:rsid w:val="00914F8E"/>
    <w:rsid w:val="00915959"/>
    <w:rsid w:val="00916079"/>
    <w:rsid w:val="00917CE9"/>
    <w:rsid w:val="0092081E"/>
    <w:rsid w:val="00920BF2"/>
    <w:rsid w:val="00921720"/>
    <w:rsid w:val="00922010"/>
    <w:rsid w:val="0092217F"/>
    <w:rsid w:val="009247CB"/>
    <w:rsid w:val="00925F56"/>
    <w:rsid w:val="00926622"/>
    <w:rsid w:val="00926CF1"/>
    <w:rsid w:val="009304A3"/>
    <w:rsid w:val="00931BD9"/>
    <w:rsid w:val="00931C2F"/>
    <w:rsid w:val="00932BB4"/>
    <w:rsid w:val="00934AB6"/>
    <w:rsid w:val="009368F3"/>
    <w:rsid w:val="00941636"/>
    <w:rsid w:val="009424F3"/>
    <w:rsid w:val="00943737"/>
    <w:rsid w:val="00943742"/>
    <w:rsid w:val="00943CCE"/>
    <w:rsid w:val="00944531"/>
    <w:rsid w:val="00945041"/>
    <w:rsid w:val="00945C05"/>
    <w:rsid w:val="00946945"/>
    <w:rsid w:val="00947713"/>
    <w:rsid w:val="00947AB8"/>
    <w:rsid w:val="00950C02"/>
    <w:rsid w:val="00950DE7"/>
    <w:rsid w:val="00953228"/>
    <w:rsid w:val="00953920"/>
    <w:rsid w:val="00953D47"/>
    <w:rsid w:val="0095681E"/>
    <w:rsid w:val="009572D4"/>
    <w:rsid w:val="00957485"/>
    <w:rsid w:val="00961921"/>
    <w:rsid w:val="009629ED"/>
    <w:rsid w:val="00962A7B"/>
    <w:rsid w:val="00963C18"/>
    <w:rsid w:val="0096430A"/>
    <w:rsid w:val="00964EB9"/>
    <w:rsid w:val="0096554B"/>
    <w:rsid w:val="0096584A"/>
    <w:rsid w:val="00966338"/>
    <w:rsid w:val="00966432"/>
    <w:rsid w:val="00970D57"/>
    <w:rsid w:val="00971F08"/>
    <w:rsid w:val="0097264E"/>
    <w:rsid w:val="00972E89"/>
    <w:rsid w:val="009734A7"/>
    <w:rsid w:val="00973BE3"/>
    <w:rsid w:val="0097500F"/>
    <w:rsid w:val="009751C5"/>
    <w:rsid w:val="0097603D"/>
    <w:rsid w:val="009764D0"/>
    <w:rsid w:val="00976949"/>
    <w:rsid w:val="00977B28"/>
    <w:rsid w:val="00980477"/>
    <w:rsid w:val="00980CB7"/>
    <w:rsid w:val="0098329A"/>
    <w:rsid w:val="00983417"/>
    <w:rsid w:val="00983FD7"/>
    <w:rsid w:val="00985253"/>
    <w:rsid w:val="009853B3"/>
    <w:rsid w:val="00985D70"/>
    <w:rsid w:val="009874E6"/>
    <w:rsid w:val="00990630"/>
    <w:rsid w:val="0099087C"/>
    <w:rsid w:val="00991761"/>
    <w:rsid w:val="00993393"/>
    <w:rsid w:val="00994DCA"/>
    <w:rsid w:val="00995A06"/>
    <w:rsid w:val="009960EC"/>
    <w:rsid w:val="00997019"/>
    <w:rsid w:val="009970DD"/>
    <w:rsid w:val="009A00AE"/>
    <w:rsid w:val="009A0FBA"/>
    <w:rsid w:val="009A1601"/>
    <w:rsid w:val="009A414D"/>
    <w:rsid w:val="009A462D"/>
    <w:rsid w:val="009A5CBA"/>
    <w:rsid w:val="009A6004"/>
    <w:rsid w:val="009B017A"/>
    <w:rsid w:val="009B1F30"/>
    <w:rsid w:val="009B3AC2"/>
    <w:rsid w:val="009B4DF4"/>
    <w:rsid w:val="009B5316"/>
    <w:rsid w:val="009B564E"/>
    <w:rsid w:val="009B5890"/>
    <w:rsid w:val="009B7E87"/>
    <w:rsid w:val="009C369B"/>
    <w:rsid w:val="009C403E"/>
    <w:rsid w:val="009C5930"/>
    <w:rsid w:val="009C638E"/>
    <w:rsid w:val="009C676B"/>
    <w:rsid w:val="009C7D6C"/>
    <w:rsid w:val="009D2CBB"/>
    <w:rsid w:val="009D3A9B"/>
    <w:rsid w:val="009D469A"/>
    <w:rsid w:val="009D4FF0"/>
    <w:rsid w:val="009D703C"/>
    <w:rsid w:val="009D718F"/>
    <w:rsid w:val="009E068F"/>
    <w:rsid w:val="009E14E0"/>
    <w:rsid w:val="009E35DB"/>
    <w:rsid w:val="009E47A3"/>
    <w:rsid w:val="009E4B32"/>
    <w:rsid w:val="009F08F3"/>
    <w:rsid w:val="009F1EC2"/>
    <w:rsid w:val="009F344F"/>
    <w:rsid w:val="009F3938"/>
    <w:rsid w:val="009F3970"/>
    <w:rsid w:val="009F4829"/>
    <w:rsid w:val="009F59C9"/>
    <w:rsid w:val="00A0056F"/>
    <w:rsid w:val="00A04802"/>
    <w:rsid w:val="00A048A8"/>
    <w:rsid w:val="00A04F49"/>
    <w:rsid w:val="00A0585B"/>
    <w:rsid w:val="00A06104"/>
    <w:rsid w:val="00A06306"/>
    <w:rsid w:val="00A10CFA"/>
    <w:rsid w:val="00A11D14"/>
    <w:rsid w:val="00A11E37"/>
    <w:rsid w:val="00A11F97"/>
    <w:rsid w:val="00A13E54"/>
    <w:rsid w:val="00A13F07"/>
    <w:rsid w:val="00A143D0"/>
    <w:rsid w:val="00A143D3"/>
    <w:rsid w:val="00A145B3"/>
    <w:rsid w:val="00A156B2"/>
    <w:rsid w:val="00A17F63"/>
    <w:rsid w:val="00A2052C"/>
    <w:rsid w:val="00A2193B"/>
    <w:rsid w:val="00A2351A"/>
    <w:rsid w:val="00A23735"/>
    <w:rsid w:val="00A247DB"/>
    <w:rsid w:val="00A253CA"/>
    <w:rsid w:val="00A264A9"/>
    <w:rsid w:val="00A26D5A"/>
    <w:rsid w:val="00A2704B"/>
    <w:rsid w:val="00A27785"/>
    <w:rsid w:val="00A30187"/>
    <w:rsid w:val="00A3141B"/>
    <w:rsid w:val="00A33E11"/>
    <w:rsid w:val="00A3448A"/>
    <w:rsid w:val="00A34623"/>
    <w:rsid w:val="00A34A11"/>
    <w:rsid w:val="00A36297"/>
    <w:rsid w:val="00A3671A"/>
    <w:rsid w:val="00A41E2B"/>
    <w:rsid w:val="00A433F5"/>
    <w:rsid w:val="00A43B14"/>
    <w:rsid w:val="00A43EA5"/>
    <w:rsid w:val="00A45B74"/>
    <w:rsid w:val="00A45F65"/>
    <w:rsid w:val="00A46D11"/>
    <w:rsid w:val="00A5144B"/>
    <w:rsid w:val="00A52E1D"/>
    <w:rsid w:val="00A5517A"/>
    <w:rsid w:val="00A567E7"/>
    <w:rsid w:val="00A56F92"/>
    <w:rsid w:val="00A57B08"/>
    <w:rsid w:val="00A607E0"/>
    <w:rsid w:val="00A61499"/>
    <w:rsid w:val="00A62A77"/>
    <w:rsid w:val="00A62A78"/>
    <w:rsid w:val="00A63483"/>
    <w:rsid w:val="00A657D7"/>
    <w:rsid w:val="00A660AC"/>
    <w:rsid w:val="00A66B87"/>
    <w:rsid w:val="00A66F55"/>
    <w:rsid w:val="00A67E6C"/>
    <w:rsid w:val="00A70AB7"/>
    <w:rsid w:val="00A71B99"/>
    <w:rsid w:val="00A72062"/>
    <w:rsid w:val="00A728E3"/>
    <w:rsid w:val="00A72DED"/>
    <w:rsid w:val="00A739D0"/>
    <w:rsid w:val="00A74046"/>
    <w:rsid w:val="00A74DF0"/>
    <w:rsid w:val="00A761D4"/>
    <w:rsid w:val="00A77EC4"/>
    <w:rsid w:val="00A80E9C"/>
    <w:rsid w:val="00A84600"/>
    <w:rsid w:val="00A84A16"/>
    <w:rsid w:val="00A872FF"/>
    <w:rsid w:val="00A87B58"/>
    <w:rsid w:val="00A87EAD"/>
    <w:rsid w:val="00A905F5"/>
    <w:rsid w:val="00A91C88"/>
    <w:rsid w:val="00A92879"/>
    <w:rsid w:val="00A92B81"/>
    <w:rsid w:val="00A943ED"/>
    <w:rsid w:val="00A9442A"/>
    <w:rsid w:val="00AA016F"/>
    <w:rsid w:val="00AA10CC"/>
    <w:rsid w:val="00AA1ED6"/>
    <w:rsid w:val="00AA51D6"/>
    <w:rsid w:val="00AA568F"/>
    <w:rsid w:val="00AA5754"/>
    <w:rsid w:val="00AA699F"/>
    <w:rsid w:val="00AA7395"/>
    <w:rsid w:val="00AA7717"/>
    <w:rsid w:val="00AA78C5"/>
    <w:rsid w:val="00AB0BC8"/>
    <w:rsid w:val="00AB11CA"/>
    <w:rsid w:val="00AB14D9"/>
    <w:rsid w:val="00AB4AB8"/>
    <w:rsid w:val="00AB514B"/>
    <w:rsid w:val="00AB6476"/>
    <w:rsid w:val="00AB655E"/>
    <w:rsid w:val="00AB6984"/>
    <w:rsid w:val="00AC007F"/>
    <w:rsid w:val="00AC1073"/>
    <w:rsid w:val="00AC2ECD"/>
    <w:rsid w:val="00AC3119"/>
    <w:rsid w:val="00AC49FB"/>
    <w:rsid w:val="00AC5A10"/>
    <w:rsid w:val="00AC6B5A"/>
    <w:rsid w:val="00AD0AA3"/>
    <w:rsid w:val="00AD219F"/>
    <w:rsid w:val="00AD22DE"/>
    <w:rsid w:val="00AD2BD5"/>
    <w:rsid w:val="00AD3F94"/>
    <w:rsid w:val="00AD4571"/>
    <w:rsid w:val="00AD4A5A"/>
    <w:rsid w:val="00AD5A73"/>
    <w:rsid w:val="00AD6677"/>
    <w:rsid w:val="00AD68FA"/>
    <w:rsid w:val="00AD6F27"/>
    <w:rsid w:val="00AD7F01"/>
    <w:rsid w:val="00AE18FE"/>
    <w:rsid w:val="00AE219E"/>
    <w:rsid w:val="00AE27AC"/>
    <w:rsid w:val="00AE3743"/>
    <w:rsid w:val="00AE39D5"/>
    <w:rsid w:val="00AE40E0"/>
    <w:rsid w:val="00AE4DBA"/>
    <w:rsid w:val="00AE4F07"/>
    <w:rsid w:val="00AE62A9"/>
    <w:rsid w:val="00AF096E"/>
    <w:rsid w:val="00AF1C5D"/>
    <w:rsid w:val="00AF2926"/>
    <w:rsid w:val="00AF42D7"/>
    <w:rsid w:val="00AF5D8C"/>
    <w:rsid w:val="00AF7DEC"/>
    <w:rsid w:val="00B006FE"/>
    <w:rsid w:val="00B007CB"/>
    <w:rsid w:val="00B01CB7"/>
    <w:rsid w:val="00B02AA9"/>
    <w:rsid w:val="00B02FA3"/>
    <w:rsid w:val="00B04CCE"/>
    <w:rsid w:val="00B05084"/>
    <w:rsid w:val="00B114D8"/>
    <w:rsid w:val="00B135C0"/>
    <w:rsid w:val="00B13A18"/>
    <w:rsid w:val="00B1517B"/>
    <w:rsid w:val="00B157F9"/>
    <w:rsid w:val="00B20256"/>
    <w:rsid w:val="00B20D09"/>
    <w:rsid w:val="00B2117D"/>
    <w:rsid w:val="00B21EA0"/>
    <w:rsid w:val="00B21F58"/>
    <w:rsid w:val="00B2763F"/>
    <w:rsid w:val="00B27AAC"/>
    <w:rsid w:val="00B30929"/>
    <w:rsid w:val="00B328FD"/>
    <w:rsid w:val="00B34427"/>
    <w:rsid w:val="00B3561F"/>
    <w:rsid w:val="00B35DDA"/>
    <w:rsid w:val="00B372AA"/>
    <w:rsid w:val="00B373C6"/>
    <w:rsid w:val="00B40445"/>
    <w:rsid w:val="00B41888"/>
    <w:rsid w:val="00B43214"/>
    <w:rsid w:val="00B45A52"/>
    <w:rsid w:val="00B45C8F"/>
    <w:rsid w:val="00B46175"/>
    <w:rsid w:val="00B47583"/>
    <w:rsid w:val="00B54381"/>
    <w:rsid w:val="00B57061"/>
    <w:rsid w:val="00B60366"/>
    <w:rsid w:val="00B60D95"/>
    <w:rsid w:val="00B6188F"/>
    <w:rsid w:val="00B62D02"/>
    <w:rsid w:val="00B66277"/>
    <w:rsid w:val="00B66447"/>
    <w:rsid w:val="00B664C7"/>
    <w:rsid w:val="00B739F6"/>
    <w:rsid w:val="00B73E93"/>
    <w:rsid w:val="00B762E3"/>
    <w:rsid w:val="00B769D8"/>
    <w:rsid w:val="00B76CE4"/>
    <w:rsid w:val="00B80F70"/>
    <w:rsid w:val="00B81495"/>
    <w:rsid w:val="00B81A6C"/>
    <w:rsid w:val="00B83BAE"/>
    <w:rsid w:val="00B85DE5"/>
    <w:rsid w:val="00B9075F"/>
    <w:rsid w:val="00B90E8F"/>
    <w:rsid w:val="00B90F73"/>
    <w:rsid w:val="00B93B59"/>
    <w:rsid w:val="00B9406A"/>
    <w:rsid w:val="00B97FE4"/>
    <w:rsid w:val="00BA00E8"/>
    <w:rsid w:val="00BA2280"/>
    <w:rsid w:val="00BA22CC"/>
    <w:rsid w:val="00BA2524"/>
    <w:rsid w:val="00BA2A08"/>
    <w:rsid w:val="00BA30AA"/>
    <w:rsid w:val="00BA42CC"/>
    <w:rsid w:val="00BA4322"/>
    <w:rsid w:val="00BA56D2"/>
    <w:rsid w:val="00BA5A60"/>
    <w:rsid w:val="00BA63E5"/>
    <w:rsid w:val="00BA76E0"/>
    <w:rsid w:val="00BB2A25"/>
    <w:rsid w:val="00BB51E9"/>
    <w:rsid w:val="00BB599F"/>
    <w:rsid w:val="00BB6AD1"/>
    <w:rsid w:val="00BC0FAC"/>
    <w:rsid w:val="00BC0FDC"/>
    <w:rsid w:val="00BC3053"/>
    <w:rsid w:val="00BC3D14"/>
    <w:rsid w:val="00BC4D2E"/>
    <w:rsid w:val="00BC7438"/>
    <w:rsid w:val="00BC7AE3"/>
    <w:rsid w:val="00BD0038"/>
    <w:rsid w:val="00BD2F9B"/>
    <w:rsid w:val="00BD42B9"/>
    <w:rsid w:val="00BD48AC"/>
    <w:rsid w:val="00BD5774"/>
    <w:rsid w:val="00BD5F1A"/>
    <w:rsid w:val="00BD7716"/>
    <w:rsid w:val="00BE1234"/>
    <w:rsid w:val="00BE2DF1"/>
    <w:rsid w:val="00BE2FA6"/>
    <w:rsid w:val="00BE333F"/>
    <w:rsid w:val="00BE6152"/>
    <w:rsid w:val="00BE7406"/>
    <w:rsid w:val="00BE7603"/>
    <w:rsid w:val="00BE7DE1"/>
    <w:rsid w:val="00BF3279"/>
    <w:rsid w:val="00BF3621"/>
    <w:rsid w:val="00BF4AE4"/>
    <w:rsid w:val="00BF74C7"/>
    <w:rsid w:val="00C00DC6"/>
    <w:rsid w:val="00C0118A"/>
    <w:rsid w:val="00C015F1"/>
    <w:rsid w:val="00C01F33"/>
    <w:rsid w:val="00C02CC6"/>
    <w:rsid w:val="00C03BC0"/>
    <w:rsid w:val="00C03D32"/>
    <w:rsid w:val="00C040F7"/>
    <w:rsid w:val="00C0416D"/>
    <w:rsid w:val="00C041B0"/>
    <w:rsid w:val="00C044AB"/>
    <w:rsid w:val="00C04757"/>
    <w:rsid w:val="00C05706"/>
    <w:rsid w:val="00C0600E"/>
    <w:rsid w:val="00C07066"/>
    <w:rsid w:val="00C07377"/>
    <w:rsid w:val="00C07D47"/>
    <w:rsid w:val="00C10478"/>
    <w:rsid w:val="00C10BA5"/>
    <w:rsid w:val="00C12107"/>
    <w:rsid w:val="00C12276"/>
    <w:rsid w:val="00C12445"/>
    <w:rsid w:val="00C12674"/>
    <w:rsid w:val="00C13ED5"/>
    <w:rsid w:val="00C14D4B"/>
    <w:rsid w:val="00C154BB"/>
    <w:rsid w:val="00C170C4"/>
    <w:rsid w:val="00C1794F"/>
    <w:rsid w:val="00C212F9"/>
    <w:rsid w:val="00C22AD5"/>
    <w:rsid w:val="00C234EB"/>
    <w:rsid w:val="00C24345"/>
    <w:rsid w:val="00C24F5B"/>
    <w:rsid w:val="00C279B5"/>
    <w:rsid w:val="00C27A79"/>
    <w:rsid w:val="00C27A9F"/>
    <w:rsid w:val="00C27C45"/>
    <w:rsid w:val="00C27D0E"/>
    <w:rsid w:val="00C34C94"/>
    <w:rsid w:val="00C36B81"/>
    <w:rsid w:val="00C3719D"/>
    <w:rsid w:val="00C43B1E"/>
    <w:rsid w:val="00C448A4"/>
    <w:rsid w:val="00C512C2"/>
    <w:rsid w:val="00C541AD"/>
    <w:rsid w:val="00C542B7"/>
    <w:rsid w:val="00C548A5"/>
    <w:rsid w:val="00C54995"/>
    <w:rsid w:val="00C54D41"/>
    <w:rsid w:val="00C54EA6"/>
    <w:rsid w:val="00C606F1"/>
    <w:rsid w:val="00C60783"/>
    <w:rsid w:val="00C61251"/>
    <w:rsid w:val="00C6225C"/>
    <w:rsid w:val="00C64672"/>
    <w:rsid w:val="00C64B79"/>
    <w:rsid w:val="00C6530A"/>
    <w:rsid w:val="00C701AD"/>
    <w:rsid w:val="00C70697"/>
    <w:rsid w:val="00C70A11"/>
    <w:rsid w:val="00C70CB0"/>
    <w:rsid w:val="00C724CD"/>
    <w:rsid w:val="00C72EF4"/>
    <w:rsid w:val="00C73E4C"/>
    <w:rsid w:val="00C75D2F"/>
    <w:rsid w:val="00C767BE"/>
    <w:rsid w:val="00C767C2"/>
    <w:rsid w:val="00C76E3C"/>
    <w:rsid w:val="00C81568"/>
    <w:rsid w:val="00C81EA0"/>
    <w:rsid w:val="00C82D13"/>
    <w:rsid w:val="00C83EC5"/>
    <w:rsid w:val="00C84215"/>
    <w:rsid w:val="00C860F5"/>
    <w:rsid w:val="00C9027A"/>
    <w:rsid w:val="00C9068E"/>
    <w:rsid w:val="00C91800"/>
    <w:rsid w:val="00C93C4B"/>
    <w:rsid w:val="00C944AB"/>
    <w:rsid w:val="00C95B40"/>
    <w:rsid w:val="00CA1ED8"/>
    <w:rsid w:val="00CA1F13"/>
    <w:rsid w:val="00CA389E"/>
    <w:rsid w:val="00CA3E59"/>
    <w:rsid w:val="00CA4276"/>
    <w:rsid w:val="00CA4A82"/>
    <w:rsid w:val="00CA5930"/>
    <w:rsid w:val="00CB0A35"/>
    <w:rsid w:val="00CB1F63"/>
    <w:rsid w:val="00CB57F7"/>
    <w:rsid w:val="00CB5AE7"/>
    <w:rsid w:val="00CB7170"/>
    <w:rsid w:val="00CB7F3A"/>
    <w:rsid w:val="00CC040E"/>
    <w:rsid w:val="00CC111F"/>
    <w:rsid w:val="00CC132B"/>
    <w:rsid w:val="00CC2011"/>
    <w:rsid w:val="00CC2E6D"/>
    <w:rsid w:val="00CC3EA0"/>
    <w:rsid w:val="00CC7B45"/>
    <w:rsid w:val="00CD0223"/>
    <w:rsid w:val="00CD1188"/>
    <w:rsid w:val="00CD2ED1"/>
    <w:rsid w:val="00CD337B"/>
    <w:rsid w:val="00CD35BF"/>
    <w:rsid w:val="00CD4482"/>
    <w:rsid w:val="00CD497D"/>
    <w:rsid w:val="00CD4E0F"/>
    <w:rsid w:val="00CD511A"/>
    <w:rsid w:val="00CD6705"/>
    <w:rsid w:val="00CE0424"/>
    <w:rsid w:val="00CE1815"/>
    <w:rsid w:val="00CE318F"/>
    <w:rsid w:val="00CE3C92"/>
    <w:rsid w:val="00CE6FEE"/>
    <w:rsid w:val="00CE7561"/>
    <w:rsid w:val="00CF1354"/>
    <w:rsid w:val="00CF1533"/>
    <w:rsid w:val="00CF186E"/>
    <w:rsid w:val="00CF3B1F"/>
    <w:rsid w:val="00CF3BF6"/>
    <w:rsid w:val="00CF5DFD"/>
    <w:rsid w:val="00CF625B"/>
    <w:rsid w:val="00CF687E"/>
    <w:rsid w:val="00CF7FD5"/>
    <w:rsid w:val="00D00332"/>
    <w:rsid w:val="00D01798"/>
    <w:rsid w:val="00D0349B"/>
    <w:rsid w:val="00D0575F"/>
    <w:rsid w:val="00D05B86"/>
    <w:rsid w:val="00D10249"/>
    <w:rsid w:val="00D107E2"/>
    <w:rsid w:val="00D115C3"/>
    <w:rsid w:val="00D11663"/>
    <w:rsid w:val="00D11897"/>
    <w:rsid w:val="00D11A12"/>
    <w:rsid w:val="00D125A2"/>
    <w:rsid w:val="00D13135"/>
    <w:rsid w:val="00D13491"/>
    <w:rsid w:val="00D13E4E"/>
    <w:rsid w:val="00D2208E"/>
    <w:rsid w:val="00D231D9"/>
    <w:rsid w:val="00D239A7"/>
    <w:rsid w:val="00D23D48"/>
    <w:rsid w:val="00D23F47"/>
    <w:rsid w:val="00D24602"/>
    <w:rsid w:val="00D24D9A"/>
    <w:rsid w:val="00D2553E"/>
    <w:rsid w:val="00D2755C"/>
    <w:rsid w:val="00D27C64"/>
    <w:rsid w:val="00D31C3F"/>
    <w:rsid w:val="00D36E71"/>
    <w:rsid w:val="00D37B76"/>
    <w:rsid w:val="00D37D87"/>
    <w:rsid w:val="00D37DFF"/>
    <w:rsid w:val="00D4039A"/>
    <w:rsid w:val="00D40511"/>
    <w:rsid w:val="00D40B33"/>
    <w:rsid w:val="00D42268"/>
    <w:rsid w:val="00D4318F"/>
    <w:rsid w:val="00D438BF"/>
    <w:rsid w:val="00D43CEA"/>
    <w:rsid w:val="00D440F8"/>
    <w:rsid w:val="00D4480D"/>
    <w:rsid w:val="00D46287"/>
    <w:rsid w:val="00D4647B"/>
    <w:rsid w:val="00D468EF"/>
    <w:rsid w:val="00D46DA8"/>
    <w:rsid w:val="00D47A7A"/>
    <w:rsid w:val="00D50F97"/>
    <w:rsid w:val="00D51A58"/>
    <w:rsid w:val="00D546FF"/>
    <w:rsid w:val="00D55AD5"/>
    <w:rsid w:val="00D576CA"/>
    <w:rsid w:val="00D60DA6"/>
    <w:rsid w:val="00D61AF5"/>
    <w:rsid w:val="00D628C7"/>
    <w:rsid w:val="00D632D4"/>
    <w:rsid w:val="00D644F7"/>
    <w:rsid w:val="00D652B5"/>
    <w:rsid w:val="00D66155"/>
    <w:rsid w:val="00D66359"/>
    <w:rsid w:val="00D67D98"/>
    <w:rsid w:val="00D708B0"/>
    <w:rsid w:val="00D70A08"/>
    <w:rsid w:val="00D70BC2"/>
    <w:rsid w:val="00D71E01"/>
    <w:rsid w:val="00D756D1"/>
    <w:rsid w:val="00D77B1D"/>
    <w:rsid w:val="00D8021F"/>
    <w:rsid w:val="00D80383"/>
    <w:rsid w:val="00D823C6"/>
    <w:rsid w:val="00D827C1"/>
    <w:rsid w:val="00D82EFA"/>
    <w:rsid w:val="00D83068"/>
    <w:rsid w:val="00D84934"/>
    <w:rsid w:val="00D849A8"/>
    <w:rsid w:val="00D84FEF"/>
    <w:rsid w:val="00D85EDA"/>
    <w:rsid w:val="00D86CA3"/>
    <w:rsid w:val="00D871CE"/>
    <w:rsid w:val="00D9196D"/>
    <w:rsid w:val="00D92982"/>
    <w:rsid w:val="00D929F4"/>
    <w:rsid w:val="00D950EC"/>
    <w:rsid w:val="00DA1066"/>
    <w:rsid w:val="00DA305E"/>
    <w:rsid w:val="00DA5417"/>
    <w:rsid w:val="00DA56E8"/>
    <w:rsid w:val="00DA5DA7"/>
    <w:rsid w:val="00DA77F5"/>
    <w:rsid w:val="00DB0692"/>
    <w:rsid w:val="00DB0A9F"/>
    <w:rsid w:val="00DB0F77"/>
    <w:rsid w:val="00DB377D"/>
    <w:rsid w:val="00DB4BF8"/>
    <w:rsid w:val="00DB6A7A"/>
    <w:rsid w:val="00DC0298"/>
    <w:rsid w:val="00DC2584"/>
    <w:rsid w:val="00DC2D36"/>
    <w:rsid w:val="00DC53EF"/>
    <w:rsid w:val="00DC68FC"/>
    <w:rsid w:val="00DC7CDB"/>
    <w:rsid w:val="00DD1AD6"/>
    <w:rsid w:val="00DD32F0"/>
    <w:rsid w:val="00DD6E58"/>
    <w:rsid w:val="00DE2914"/>
    <w:rsid w:val="00DE2E96"/>
    <w:rsid w:val="00DE35C3"/>
    <w:rsid w:val="00DE5608"/>
    <w:rsid w:val="00DE58D0"/>
    <w:rsid w:val="00DE6265"/>
    <w:rsid w:val="00DE654F"/>
    <w:rsid w:val="00DF0B6E"/>
    <w:rsid w:val="00DF15E0"/>
    <w:rsid w:val="00DF37A0"/>
    <w:rsid w:val="00DF3E3D"/>
    <w:rsid w:val="00DF4529"/>
    <w:rsid w:val="00DF4FED"/>
    <w:rsid w:val="00DF5995"/>
    <w:rsid w:val="00DF7589"/>
    <w:rsid w:val="00DF7D5A"/>
    <w:rsid w:val="00E0052C"/>
    <w:rsid w:val="00E03BB4"/>
    <w:rsid w:val="00E03BE3"/>
    <w:rsid w:val="00E03FEC"/>
    <w:rsid w:val="00E0450F"/>
    <w:rsid w:val="00E04B04"/>
    <w:rsid w:val="00E07925"/>
    <w:rsid w:val="00E110E7"/>
    <w:rsid w:val="00E11B20"/>
    <w:rsid w:val="00E13DAA"/>
    <w:rsid w:val="00E16237"/>
    <w:rsid w:val="00E1748E"/>
    <w:rsid w:val="00E179B2"/>
    <w:rsid w:val="00E17FA2"/>
    <w:rsid w:val="00E2172F"/>
    <w:rsid w:val="00E22330"/>
    <w:rsid w:val="00E23770"/>
    <w:rsid w:val="00E24408"/>
    <w:rsid w:val="00E25A08"/>
    <w:rsid w:val="00E30B5A"/>
    <w:rsid w:val="00E30C84"/>
    <w:rsid w:val="00E3123D"/>
    <w:rsid w:val="00E31461"/>
    <w:rsid w:val="00E31D43"/>
    <w:rsid w:val="00E32608"/>
    <w:rsid w:val="00E34188"/>
    <w:rsid w:val="00E3456A"/>
    <w:rsid w:val="00E34B6E"/>
    <w:rsid w:val="00E35559"/>
    <w:rsid w:val="00E3723A"/>
    <w:rsid w:val="00E37860"/>
    <w:rsid w:val="00E37AD6"/>
    <w:rsid w:val="00E4081F"/>
    <w:rsid w:val="00E41F7B"/>
    <w:rsid w:val="00E4387C"/>
    <w:rsid w:val="00E446F1"/>
    <w:rsid w:val="00E46886"/>
    <w:rsid w:val="00E47AEF"/>
    <w:rsid w:val="00E47BAD"/>
    <w:rsid w:val="00E5025E"/>
    <w:rsid w:val="00E53B75"/>
    <w:rsid w:val="00E54460"/>
    <w:rsid w:val="00E54E3B"/>
    <w:rsid w:val="00E55C70"/>
    <w:rsid w:val="00E5732C"/>
    <w:rsid w:val="00E57565"/>
    <w:rsid w:val="00E60672"/>
    <w:rsid w:val="00E622E7"/>
    <w:rsid w:val="00E63838"/>
    <w:rsid w:val="00E64434"/>
    <w:rsid w:val="00E64736"/>
    <w:rsid w:val="00E67C51"/>
    <w:rsid w:val="00E722D1"/>
    <w:rsid w:val="00E7279B"/>
    <w:rsid w:val="00E72EFC"/>
    <w:rsid w:val="00E73215"/>
    <w:rsid w:val="00E73586"/>
    <w:rsid w:val="00E758EC"/>
    <w:rsid w:val="00E75E65"/>
    <w:rsid w:val="00E76CF0"/>
    <w:rsid w:val="00E76E31"/>
    <w:rsid w:val="00E8234C"/>
    <w:rsid w:val="00E83AA9"/>
    <w:rsid w:val="00E840A2"/>
    <w:rsid w:val="00E85928"/>
    <w:rsid w:val="00E87822"/>
    <w:rsid w:val="00E87DA1"/>
    <w:rsid w:val="00E90395"/>
    <w:rsid w:val="00E904D7"/>
    <w:rsid w:val="00E90B9F"/>
    <w:rsid w:val="00E90E49"/>
    <w:rsid w:val="00E917F9"/>
    <w:rsid w:val="00E91929"/>
    <w:rsid w:val="00E91DE1"/>
    <w:rsid w:val="00E9291C"/>
    <w:rsid w:val="00E93FFE"/>
    <w:rsid w:val="00E94E2C"/>
    <w:rsid w:val="00E94F8A"/>
    <w:rsid w:val="00E95D4A"/>
    <w:rsid w:val="00E9671E"/>
    <w:rsid w:val="00EA1058"/>
    <w:rsid w:val="00EA70DB"/>
    <w:rsid w:val="00EA7A41"/>
    <w:rsid w:val="00EB077B"/>
    <w:rsid w:val="00EB4B98"/>
    <w:rsid w:val="00EB4EA2"/>
    <w:rsid w:val="00EB5626"/>
    <w:rsid w:val="00EC1E07"/>
    <w:rsid w:val="00EC20B2"/>
    <w:rsid w:val="00EC27C6"/>
    <w:rsid w:val="00EC4207"/>
    <w:rsid w:val="00EC5653"/>
    <w:rsid w:val="00EC71CE"/>
    <w:rsid w:val="00ED1006"/>
    <w:rsid w:val="00ED3BAA"/>
    <w:rsid w:val="00ED60A0"/>
    <w:rsid w:val="00ED70B8"/>
    <w:rsid w:val="00EE0142"/>
    <w:rsid w:val="00EE15CA"/>
    <w:rsid w:val="00EE333D"/>
    <w:rsid w:val="00EF089C"/>
    <w:rsid w:val="00EF18FE"/>
    <w:rsid w:val="00EF22E7"/>
    <w:rsid w:val="00EF309F"/>
    <w:rsid w:val="00EF318B"/>
    <w:rsid w:val="00EF36E3"/>
    <w:rsid w:val="00EF37D9"/>
    <w:rsid w:val="00EF4CCF"/>
    <w:rsid w:val="00EF557A"/>
    <w:rsid w:val="00EF5787"/>
    <w:rsid w:val="00EF60D0"/>
    <w:rsid w:val="00EF68D4"/>
    <w:rsid w:val="00F00E59"/>
    <w:rsid w:val="00F0105F"/>
    <w:rsid w:val="00F012A9"/>
    <w:rsid w:val="00F03964"/>
    <w:rsid w:val="00F03A39"/>
    <w:rsid w:val="00F04F21"/>
    <w:rsid w:val="00F0528D"/>
    <w:rsid w:val="00F06C67"/>
    <w:rsid w:val="00F06DFD"/>
    <w:rsid w:val="00F071D1"/>
    <w:rsid w:val="00F07533"/>
    <w:rsid w:val="00F10629"/>
    <w:rsid w:val="00F1157A"/>
    <w:rsid w:val="00F15500"/>
    <w:rsid w:val="00F156C9"/>
    <w:rsid w:val="00F15986"/>
    <w:rsid w:val="00F15F8A"/>
    <w:rsid w:val="00F15FA5"/>
    <w:rsid w:val="00F209B7"/>
    <w:rsid w:val="00F21762"/>
    <w:rsid w:val="00F2376F"/>
    <w:rsid w:val="00F243D8"/>
    <w:rsid w:val="00F24D8B"/>
    <w:rsid w:val="00F30828"/>
    <w:rsid w:val="00F313D6"/>
    <w:rsid w:val="00F3248F"/>
    <w:rsid w:val="00F33917"/>
    <w:rsid w:val="00F35EF0"/>
    <w:rsid w:val="00F3637B"/>
    <w:rsid w:val="00F37D14"/>
    <w:rsid w:val="00F40D27"/>
    <w:rsid w:val="00F40F0C"/>
    <w:rsid w:val="00F42092"/>
    <w:rsid w:val="00F471F6"/>
    <w:rsid w:val="00F472C4"/>
    <w:rsid w:val="00F473ED"/>
    <w:rsid w:val="00F4766C"/>
    <w:rsid w:val="00F507D1"/>
    <w:rsid w:val="00F519CE"/>
    <w:rsid w:val="00F51ADA"/>
    <w:rsid w:val="00F52FBF"/>
    <w:rsid w:val="00F53665"/>
    <w:rsid w:val="00F55CE0"/>
    <w:rsid w:val="00F56EDC"/>
    <w:rsid w:val="00F57541"/>
    <w:rsid w:val="00F57C33"/>
    <w:rsid w:val="00F607C5"/>
    <w:rsid w:val="00F60DEA"/>
    <w:rsid w:val="00F61709"/>
    <w:rsid w:val="00F61FBB"/>
    <w:rsid w:val="00F6302A"/>
    <w:rsid w:val="00F64C2B"/>
    <w:rsid w:val="00F651BE"/>
    <w:rsid w:val="00F658F7"/>
    <w:rsid w:val="00F66584"/>
    <w:rsid w:val="00F66A10"/>
    <w:rsid w:val="00F67F53"/>
    <w:rsid w:val="00F703BE"/>
    <w:rsid w:val="00F71F69"/>
    <w:rsid w:val="00F72B36"/>
    <w:rsid w:val="00F72B72"/>
    <w:rsid w:val="00F74BB9"/>
    <w:rsid w:val="00F75582"/>
    <w:rsid w:val="00F76EFA"/>
    <w:rsid w:val="00F77A30"/>
    <w:rsid w:val="00F804BE"/>
    <w:rsid w:val="00F817CE"/>
    <w:rsid w:val="00F82123"/>
    <w:rsid w:val="00F823F7"/>
    <w:rsid w:val="00F8456C"/>
    <w:rsid w:val="00F859D8"/>
    <w:rsid w:val="00F868F5"/>
    <w:rsid w:val="00F9056A"/>
    <w:rsid w:val="00F90F8D"/>
    <w:rsid w:val="00F91EFA"/>
    <w:rsid w:val="00F92782"/>
    <w:rsid w:val="00F93AA9"/>
    <w:rsid w:val="00F96985"/>
    <w:rsid w:val="00F97838"/>
    <w:rsid w:val="00FA2BB3"/>
    <w:rsid w:val="00FA5367"/>
    <w:rsid w:val="00FA5CCA"/>
    <w:rsid w:val="00FA61AB"/>
    <w:rsid w:val="00FA7407"/>
    <w:rsid w:val="00FA75BD"/>
    <w:rsid w:val="00FB3614"/>
    <w:rsid w:val="00FB3C64"/>
    <w:rsid w:val="00FB4B8C"/>
    <w:rsid w:val="00FB4C80"/>
    <w:rsid w:val="00FB4FAE"/>
    <w:rsid w:val="00FB6A6A"/>
    <w:rsid w:val="00FB7FEF"/>
    <w:rsid w:val="00FC1033"/>
    <w:rsid w:val="00FC1134"/>
    <w:rsid w:val="00FC2246"/>
    <w:rsid w:val="00FC6911"/>
    <w:rsid w:val="00FC691F"/>
    <w:rsid w:val="00FC7429"/>
    <w:rsid w:val="00FC7B2D"/>
    <w:rsid w:val="00FD07F6"/>
    <w:rsid w:val="00FD16C1"/>
    <w:rsid w:val="00FD1EC8"/>
    <w:rsid w:val="00FD2BF2"/>
    <w:rsid w:val="00FD4329"/>
    <w:rsid w:val="00FD47ED"/>
    <w:rsid w:val="00FD74DB"/>
    <w:rsid w:val="00FD758B"/>
    <w:rsid w:val="00FD7660"/>
    <w:rsid w:val="00FE0655"/>
    <w:rsid w:val="00FE2365"/>
    <w:rsid w:val="00FE4C7B"/>
    <w:rsid w:val="00FE5B28"/>
    <w:rsid w:val="00FE6371"/>
    <w:rsid w:val="00FE7336"/>
    <w:rsid w:val="00FE787C"/>
    <w:rsid w:val="00FF0C93"/>
    <w:rsid w:val="00FF45A5"/>
    <w:rsid w:val="00FF4C45"/>
    <w:rsid w:val="00FF5C91"/>
    <w:rsid w:val="00FF5D6E"/>
    <w:rsid w:val="00FF5F12"/>
    <w:rsid w:val="00FF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2807"/>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8228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807"/>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paragraph" w:styleId="Revision">
    <w:name w:val="Revision"/>
    <w:hidden/>
    <w:uiPriority w:val="99"/>
    <w:semiHidden/>
    <w:rsid w:val="003D6789"/>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592">
      <w:bodyDiv w:val="1"/>
      <w:marLeft w:val="0"/>
      <w:marRight w:val="0"/>
      <w:marTop w:val="0"/>
      <w:marBottom w:val="0"/>
      <w:divBdr>
        <w:top w:val="none" w:sz="0" w:space="0" w:color="auto"/>
        <w:left w:val="none" w:sz="0" w:space="0" w:color="auto"/>
        <w:bottom w:val="none" w:sz="0" w:space="0" w:color="auto"/>
        <w:right w:val="none" w:sz="0" w:space="0" w:color="auto"/>
      </w:divBdr>
      <w:divsChild>
        <w:div w:id="1658069629">
          <w:marLeft w:val="979"/>
          <w:marRight w:val="0"/>
          <w:marTop w:val="60"/>
          <w:marBottom w:val="0"/>
          <w:divBdr>
            <w:top w:val="none" w:sz="0" w:space="0" w:color="auto"/>
            <w:left w:val="none" w:sz="0" w:space="0" w:color="auto"/>
            <w:bottom w:val="none" w:sz="0" w:space="0" w:color="auto"/>
            <w:right w:val="none" w:sz="0" w:space="0" w:color="auto"/>
          </w:divBdr>
        </w:div>
      </w:divsChild>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pablo_soldati_ericsson_com/Documents/Projects/Standard/Rel-16/3GPP/2-3GPP%20meetings/RAN3/RAN3#1014/new_tdocs/CAC_exampl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sv-SE"/>
        </a:p>
      </c:txPr>
    </c:title>
    <c:autoTitleDeleted val="0"/>
    <c:plotArea>
      <c:layout/>
      <c:barChart>
        <c:barDir val="col"/>
        <c:grouping val="clustered"/>
        <c:varyColors val="0"/>
        <c:ser>
          <c:idx val="0"/>
          <c:order val="0"/>
          <c:tx>
            <c:strRef>
              <c:f>'4 SSB beams'!$I$62</c:f>
              <c:strCache>
                <c:ptCount val="1"/>
                <c:pt idx="0">
                  <c:v>CAC </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4"/>
            <c:invertIfNegative val="0"/>
            <c:bubble3D val="0"/>
            <c:spPr>
              <a:solidFill>
                <a:schemeClr val="tx1">
                  <a:lumMod val="65000"/>
                  <a:lumOff val="35000"/>
                </a:schemeClr>
              </a:solidFill>
              <a:ln>
                <a:noFill/>
              </a:ln>
              <a:effectLst/>
            </c:spPr>
            <c:extLst>
              <c:ext xmlns:c16="http://schemas.microsoft.com/office/drawing/2014/chart" uri="{C3380CC4-5D6E-409C-BE32-E72D297353CC}">
                <c16:uniqueId val="{00000001-263B-4620-B223-C21D9255DDD0}"/>
              </c:ext>
            </c:extLst>
          </c:dPt>
          <c:cat>
            <c:strRef>
              <c:f>'4 SSB beams'!$H$63:$H$67</c:f>
              <c:strCache>
                <c:ptCount val="5"/>
                <c:pt idx="0">
                  <c:v>SSB1</c:v>
                </c:pt>
                <c:pt idx="1">
                  <c:v>SSB2</c:v>
                </c:pt>
                <c:pt idx="2">
                  <c:v>SSB3</c:v>
                </c:pt>
                <c:pt idx="3">
                  <c:v>SSB4</c:v>
                </c:pt>
                <c:pt idx="4">
                  <c:v>LTE cell </c:v>
                </c:pt>
              </c:strCache>
            </c:strRef>
          </c:cat>
          <c:val>
            <c:numRef>
              <c:f>'4 SSB beams'!$I$63:$I$67</c:f>
              <c:numCache>
                <c:formatCode>General</c:formatCode>
                <c:ptCount val="5"/>
                <c:pt idx="0">
                  <c:v>600</c:v>
                </c:pt>
                <c:pt idx="1">
                  <c:v>800</c:v>
                </c:pt>
                <c:pt idx="2">
                  <c:v>800</c:v>
                </c:pt>
                <c:pt idx="3">
                  <c:v>600</c:v>
                </c:pt>
                <c:pt idx="4">
                  <c:v>300</c:v>
                </c:pt>
              </c:numCache>
            </c:numRef>
          </c:val>
          <c:extLst>
            <c:ext xmlns:c16="http://schemas.microsoft.com/office/drawing/2014/chart" uri="{C3380CC4-5D6E-409C-BE32-E72D297353CC}">
              <c16:uniqueId val="{00000002-263B-4620-B223-C21D9255DDD0}"/>
            </c:ext>
          </c:extLst>
        </c:ser>
        <c:dLbls>
          <c:showLegendKey val="0"/>
          <c:showVal val="0"/>
          <c:showCatName val="0"/>
          <c:showSerName val="0"/>
          <c:showPercent val="0"/>
          <c:showBubbleSize val="0"/>
        </c:dLbls>
        <c:gapWidth val="100"/>
        <c:overlap val="-24"/>
        <c:axId val="495385368"/>
        <c:axId val="495383728"/>
      </c:barChart>
      <c:catAx>
        <c:axId val="49538536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95383728"/>
        <c:crosses val="autoZero"/>
        <c:auto val="1"/>
        <c:lblAlgn val="ctr"/>
        <c:lblOffset val="100"/>
        <c:noMultiLvlLbl val="0"/>
      </c:catAx>
      <c:valAx>
        <c:axId val="495383728"/>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9538536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FA710250-AA59-4660-B6E6-8996C280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9E24D-A68E-4BC2-88FF-BD73B6C7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1874</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2019-05-03T21:16:00Z</dcterms:created>
  <dcterms:modified xsi:type="dcterms:W3CDTF">2019-05-04T06:19:00Z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